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723A7081" w:rsidR="00857C0D" w:rsidRPr="00410281" w:rsidRDefault="001215D4" w:rsidP="00C44271">
      <w:pPr>
        <w:pStyle w:val="Ttulo"/>
        <w:spacing w:after="80" w:line="219" w:lineRule="exact"/>
        <w:rPr>
          <w:rFonts w:ascii="Soberana Sans" w:hAnsi="Soberana Sans"/>
          <w:sz w:val="18"/>
          <w:szCs w:val="18"/>
        </w:rPr>
      </w:pPr>
      <w:r w:rsidRPr="00410281">
        <w:rPr>
          <w:rFonts w:ascii="Soberana Sans" w:hAnsi="Soberana Sans"/>
          <w:sz w:val="18"/>
          <w:szCs w:val="18"/>
        </w:rPr>
        <w:t>SEGUNDA</w:t>
      </w:r>
      <w:r w:rsidR="00857C0D" w:rsidRPr="00410281">
        <w:rPr>
          <w:rFonts w:ascii="Soberana Sans" w:hAnsi="Soberana Sans"/>
          <w:sz w:val="18"/>
          <w:szCs w:val="18"/>
        </w:rPr>
        <w:t xml:space="preserve"> RESOLUCIÓN DE MODIFICACIONES A LA RESOLUC</w:t>
      </w:r>
      <w:r w:rsidR="00975605" w:rsidRPr="00410281">
        <w:rPr>
          <w:rFonts w:ascii="Soberana Sans" w:hAnsi="Soberana Sans"/>
          <w:sz w:val="18"/>
          <w:szCs w:val="18"/>
        </w:rPr>
        <w:t>IÓN MISCELÁNEA</w:t>
      </w:r>
      <w:r w:rsidR="0038141D" w:rsidRPr="00410281">
        <w:rPr>
          <w:rFonts w:ascii="Soberana Sans" w:hAnsi="Soberana Sans"/>
          <w:sz w:val="18"/>
          <w:szCs w:val="18"/>
        </w:rPr>
        <w:t xml:space="preserve"> FISCAL PARA 2018 Y SU</w:t>
      </w:r>
      <w:r w:rsidR="00873AFE" w:rsidRPr="00410281">
        <w:rPr>
          <w:rFonts w:ascii="Soberana Sans" w:hAnsi="Soberana Sans"/>
          <w:sz w:val="18"/>
          <w:szCs w:val="18"/>
        </w:rPr>
        <w:t>S</w:t>
      </w:r>
      <w:r w:rsidR="0038141D" w:rsidRPr="00410281">
        <w:rPr>
          <w:rFonts w:ascii="Soberana Sans" w:hAnsi="Soberana Sans"/>
          <w:sz w:val="18"/>
          <w:szCs w:val="18"/>
        </w:rPr>
        <w:t xml:space="preserve"> ANEXO</w:t>
      </w:r>
      <w:r w:rsidR="00873AFE" w:rsidRPr="00410281">
        <w:rPr>
          <w:rFonts w:ascii="Soberana Sans" w:hAnsi="Soberana Sans"/>
          <w:sz w:val="18"/>
          <w:szCs w:val="18"/>
        </w:rPr>
        <w:t>S</w:t>
      </w:r>
      <w:r w:rsidR="0038141D" w:rsidRPr="00410281">
        <w:rPr>
          <w:rFonts w:ascii="Soberana Sans" w:hAnsi="Soberana Sans"/>
          <w:sz w:val="18"/>
          <w:szCs w:val="18"/>
        </w:rPr>
        <w:t xml:space="preserve"> 1-A</w:t>
      </w:r>
      <w:r w:rsidR="00873AFE" w:rsidRPr="00410281">
        <w:rPr>
          <w:rFonts w:ascii="Soberana Sans" w:hAnsi="Soberana Sans"/>
          <w:sz w:val="18"/>
          <w:szCs w:val="18"/>
        </w:rPr>
        <w:t xml:space="preserve"> Y 15</w:t>
      </w:r>
    </w:p>
    <w:p w14:paraId="3605DA36" w14:textId="77777777" w:rsidR="00857C0D" w:rsidRPr="00410281" w:rsidRDefault="00857C0D" w:rsidP="00C44271">
      <w:pPr>
        <w:pStyle w:val="Textoindependiente"/>
        <w:spacing w:after="80" w:line="219" w:lineRule="exact"/>
        <w:rPr>
          <w:rFonts w:ascii="Soberana Sans" w:hAnsi="Soberana Sans"/>
          <w:sz w:val="18"/>
          <w:szCs w:val="18"/>
        </w:rPr>
      </w:pPr>
    </w:p>
    <w:p w14:paraId="1991130D" w14:textId="77777777" w:rsidR="00857C0D" w:rsidRPr="00410281" w:rsidRDefault="00857C0D" w:rsidP="00C44271">
      <w:pPr>
        <w:pStyle w:val="Textoindependiente"/>
        <w:spacing w:after="80" w:line="219" w:lineRule="exact"/>
        <w:rPr>
          <w:rFonts w:ascii="Soberana Sans" w:hAnsi="Soberana Sans"/>
          <w:sz w:val="18"/>
          <w:szCs w:val="18"/>
        </w:rPr>
      </w:pPr>
      <w:r w:rsidRPr="00410281">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410281" w:rsidRDefault="00857C0D" w:rsidP="00C44271">
      <w:pPr>
        <w:spacing w:after="80" w:line="219" w:lineRule="exact"/>
        <w:jc w:val="center"/>
        <w:rPr>
          <w:rFonts w:ascii="Soberana Sans" w:hAnsi="Soberana Sans" w:cs="Arial"/>
          <w:sz w:val="18"/>
          <w:szCs w:val="18"/>
        </w:rPr>
      </w:pPr>
    </w:p>
    <w:p w14:paraId="77052EAE" w14:textId="4083630E" w:rsidR="00857C0D" w:rsidRPr="00410281" w:rsidRDefault="00857C0D" w:rsidP="00C44271">
      <w:pPr>
        <w:tabs>
          <w:tab w:val="left" w:pos="1134"/>
        </w:tabs>
        <w:spacing w:after="80" w:line="219" w:lineRule="exact"/>
        <w:jc w:val="both"/>
        <w:rPr>
          <w:rFonts w:ascii="Soberana Sans" w:hAnsi="Soberana Sans" w:cs="Arial"/>
          <w:sz w:val="18"/>
          <w:szCs w:val="18"/>
        </w:rPr>
      </w:pPr>
      <w:r w:rsidRPr="00410281">
        <w:rPr>
          <w:rFonts w:ascii="Soberana Sans" w:hAnsi="Soberana Sans" w:cs="Arial"/>
          <w:b/>
          <w:sz w:val="18"/>
          <w:szCs w:val="18"/>
        </w:rPr>
        <w:t>PRIMERO.</w:t>
      </w:r>
      <w:r w:rsidR="001215D4" w:rsidRPr="00410281">
        <w:rPr>
          <w:rFonts w:ascii="Soberana Sans" w:hAnsi="Soberana Sans" w:cs="Arial"/>
          <w:sz w:val="18"/>
          <w:szCs w:val="18"/>
        </w:rPr>
        <w:t xml:space="preserve"> </w:t>
      </w:r>
      <w:r w:rsidR="00C91BFA" w:rsidRPr="00410281">
        <w:rPr>
          <w:rFonts w:ascii="Soberana Sans" w:hAnsi="Soberana Sans" w:cs="Arial"/>
          <w:b/>
          <w:sz w:val="18"/>
          <w:szCs w:val="18"/>
        </w:rPr>
        <w:t xml:space="preserve">Se reforma </w:t>
      </w:r>
      <w:r w:rsidR="00C91BFA" w:rsidRPr="00410281">
        <w:rPr>
          <w:rFonts w:ascii="Soberana Sans" w:hAnsi="Soberana Sans" w:cs="Arial"/>
          <w:sz w:val="18"/>
          <w:szCs w:val="18"/>
        </w:rPr>
        <w:t>la regla 3.3.1.50., apartado A, primer párrafo</w:t>
      </w:r>
      <w:r w:rsidR="005F7BD5" w:rsidRPr="00410281">
        <w:rPr>
          <w:rFonts w:ascii="Soberana Sans" w:hAnsi="Soberana Sans" w:cs="Arial"/>
          <w:sz w:val="18"/>
          <w:szCs w:val="18"/>
        </w:rPr>
        <w:t>;</w:t>
      </w:r>
      <w:r w:rsidR="00C91BFA" w:rsidRPr="00410281">
        <w:rPr>
          <w:rFonts w:ascii="Soberana Sans" w:hAnsi="Soberana Sans" w:cs="Arial"/>
          <w:sz w:val="18"/>
          <w:szCs w:val="18"/>
        </w:rPr>
        <w:t xml:space="preserve"> </w:t>
      </w:r>
      <w:r w:rsidR="005F7BD5" w:rsidRPr="00410281">
        <w:rPr>
          <w:rFonts w:ascii="Soberana Sans" w:hAnsi="Soberana Sans" w:cs="Arial"/>
          <w:b/>
          <w:sz w:val="18"/>
          <w:szCs w:val="18"/>
        </w:rPr>
        <w:t>s</w:t>
      </w:r>
      <w:r w:rsidR="001215D4" w:rsidRPr="00410281">
        <w:rPr>
          <w:rFonts w:ascii="Soberana Sans" w:hAnsi="Soberana Sans" w:cs="Arial"/>
          <w:b/>
          <w:sz w:val="18"/>
          <w:szCs w:val="18"/>
        </w:rPr>
        <w:t>e</w:t>
      </w:r>
      <w:r w:rsidR="00FC00A8" w:rsidRPr="00410281">
        <w:rPr>
          <w:rFonts w:ascii="Soberana Sans" w:hAnsi="Soberana Sans" w:cs="Arial"/>
          <w:b/>
          <w:sz w:val="18"/>
          <w:szCs w:val="18"/>
        </w:rPr>
        <w:t xml:space="preserve"> adicionan </w:t>
      </w:r>
      <w:r w:rsidR="00FC00A8" w:rsidRPr="00410281">
        <w:rPr>
          <w:rFonts w:ascii="Soberana Sans" w:hAnsi="Soberana Sans" w:cs="Arial"/>
          <w:sz w:val="18"/>
          <w:szCs w:val="18"/>
        </w:rPr>
        <w:t>las reglas</w:t>
      </w:r>
      <w:r w:rsidR="00BA74BD" w:rsidRPr="00410281">
        <w:rPr>
          <w:rFonts w:ascii="Soberana Sans" w:hAnsi="Soberana Sans" w:cs="Arial"/>
          <w:sz w:val="18"/>
          <w:szCs w:val="18"/>
        </w:rPr>
        <w:t xml:space="preserve"> </w:t>
      </w:r>
      <w:r w:rsidR="002B6CD2" w:rsidRPr="00410281">
        <w:rPr>
          <w:rFonts w:ascii="Soberana Sans" w:hAnsi="Soberana Sans" w:cs="Arial"/>
          <w:sz w:val="18"/>
          <w:szCs w:val="18"/>
        </w:rPr>
        <w:t>2.1.54.</w:t>
      </w:r>
      <w:r w:rsidR="00BA74BD" w:rsidRPr="00410281">
        <w:rPr>
          <w:rFonts w:ascii="Soberana Sans" w:hAnsi="Soberana Sans" w:cs="Arial"/>
          <w:sz w:val="18"/>
          <w:szCs w:val="18"/>
        </w:rPr>
        <w:t>; 3.</w:t>
      </w:r>
      <w:r w:rsidR="00F87DD1" w:rsidRPr="00410281">
        <w:rPr>
          <w:rFonts w:ascii="Soberana Sans" w:hAnsi="Soberana Sans" w:cs="Arial"/>
          <w:sz w:val="18"/>
          <w:szCs w:val="18"/>
        </w:rPr>
        <w:t>1.20.</w:t>
      </w:r>
      <w:r w:rsidR="008E525F" w:rsidRPr="00410281">
        <w:rPr>
          <w:rFonts w:ascii="Soberana Sans" w:hAnsi="Soberana Sans" w:cs="Arial"/>
          <w:sz w:val="18"/>
          <w:szCs w:val="18"/>
        </w:rPr>
        <w:t xml:space="preserve"> y 4.2.7</w:t>
      </w:r>
      <w:r w:rsidR="00BA74BD" w:rsidRPr="00410281">
        <w:rPr>
          <w:rFonts w:ascii="Soberana Sans" w:hAnsi="Soberana Sans" w:cs="Arial"/>
          <w:sz w:val="18"/>
          <w:szCs w:val="18"/>
        </w:rPr>
        <w:t>.</w:t>
      </w:r>
      <w:r w:rsidR="00D116BD" w:rsidRPr="00410281">
        <w:rPr>
          <w:rFonts w:ascii="Soberana Sans" w:hAnsi="Soberana Sans" w:cs="Arial"/>
          <w:sz w:val="18"/>
          <w:szCs w:val="18"/>
        </w:rPr>
        <w:t xml:space="preserve">, </w:t>
      </w:r>
      <w:r w:rsidR="008D0365" w:rsidRPr="00410281">
        <w:rPr>
          <w:rFonts w:ascii="Soberana Sans" w:hAnsi="Soberana Sans" w:cs="Arial"/>
          <w:sz w:val="18"/>
          <w:szCs w:val="18"/>
        </w:rPr>
        <w:t>de la Resolu</w:t>
      </w:r>
      <w:r w:rsidR="0043075F" w:rsidRPr="00410281">
        <w:rPr>
          <w:rFonts w:ascii="Soberana Sans" w:hAnsi="Soberana Sans" w:cs="Arial"/>
          <w:sz w:val="18"/>
          <w:szCs w:val="18"/>
        </w:rPr>
        <w:t>ción Miscelánea Fiscal para 2018</w:t>
      </w:r>
      <w:r w:rsidR="008D0365" w:rsidRPr="00410281">
        <w:rPr>
          <w:rFonts w:ascii="Soberana Sans" w:hAnsi="Soberana Sans" w:cs="Arial"/>
          <w:sz w:val="18"/>
          <w:szCs w:val="18"/>
        </w:rPr>
        <w:t>,</w:t>
      </w:r>
      <w:r w:rsidRPr="00410281">
        <w:rPr>
          <w:rFonts w:ascii="Soberana Sans" w:hAnsi="Soberana Sans" w:cs="Arial"/>
          <w:sz w:val="18"/>
          <w:szCs w:val="18"/>
        </w:rPr>
        <w:t xml:space="preserve"> para quedar de la siguiente manera:</w:t>
      </w:r>
    </w:p>
    <w:p w14:paraId="1CDCB8A2" w14:textId="77777777" w:rsidR="00056602" w:rsidRPr="00410281" w:rsidRDefault="00056602" w:rsidP="00C44271">
      <w:pPr>
        <w:tabs>
          <w:tab w:val="left" w:pos="1134"/>
        </w:tabs>
        <w:spacing w:after="80" w:line="219" w:lineRule="exact"/>
        <w:jc w:val="both"/>
        <w:rPr>
          <w:rFonts w:ascii="Soberana Sans" w:hAnsi="Soberana Sans" w:cs="Arial"/>
          <w:sz w:val="18"/>
          <w:szCs w:val="18"/>
        </w:rPr>
      </w:pPr>
    </w:p>
    <w:p w14:paraId="5A83B1FF" w14:textId="77777777" w:rsidR="00C62105" w:rsidRPr="00410281" w:rsidRDefault="007A2CEA" w:rsidP="00357DF6">
      <w:pPr>
        <w:spacing w:after="80" w:line="216" w:lineRule="exact"/>
        <w:ind w:left="1418"/>
        <w:jc w:val="both"/>
        <w:rPr>
          <w:rFonts w:ascii="Soberana Sans" w:hAnsi="Soberana Sans" w:cs="Arial"/>
          <w:b/>
          <w:sz w:val="18"/>
          <w:szCs w:val="18"/>
        </w:rPr>
      </w:pPr>
      <w:r w:rsidRPr="00410281">
        <w:rPr>
          <w:rFonts w:ascii="Soberana Sans" w:hAnsi="Soberana Sans"/>
          <w:b/>
          <w:sz w:val="18"/>
          <w:szCs w:val="18"/>
        </w:rPr>
        <w:t>“</w:t>
      </w:r>
      <w:r w:rsidR="00C62105" w:rsidRPr="00410281">
        <w:rPr>
          <w:rFonts w:ascii="Soberana Sans" w:hAnsi="Soberana Sans" w:cs="Arial"/>
          <w:b/>
          <w:sz w:val="18"/>
          <w:szCs w:val="18"/>
        </w:rPr>
        <w:t>Transmisión de activos y pasivos de un establecimiento permanente en el extranjero</w:t>
      </w:r>
    </w:p>
    <w:p w14:paraId="09506978" w14:textId="10C313FB" w:rsidR="00C62105" w:rsidRPr="00410281" w:rsidRDefault="002B6CD2" w:rsidP="00357DF6">
      <w:pPr>
        <w:spacing w:after="80" w:line="216" w:lineRule="exact"/>
        <w:ind w:left="1418" w:hanging="1134"/>
        <w:jc w:val="both"/>
        <w:rPr>
          <w:rFonts w:ascii="Soberana Sans" w:hAnsi="Soberana Sans" w:cs="Arial"/>
          <w:sz w:val="18"/>
          <w:szCs w:val="18"/>
        </w:rPr>
      </w:pPr>
      <w:r w:rsidRPr="00410281">
        <w:rPr>
          <w:rFonts w:ascii="Soberana Sans" w:hAnsi="Soberana Sans" w:cs="Arial"/>
          <w:b/>
          <w:sz w:val="18"/>
          <w:szCs w:val="18"/>
        </w:rPr>
        <w:t>2.1.54.</w:t>
      </w:r>
      <w:r w:rsidR="00C62105" w:rsidRPr="00410281">
        <w:rPr>
          <w:rFonts w:ascii="Soberana Sans" w:hAnsi="Soberana Sans" w:cs="Arial"/>
          <w:sz w:val="18"/>
          <w:szCs w:val="18"/>
        </w:rPr>
        <w:t xml:space="preserve"> </w:t>
      </w:r>
      <w:r w:rsidR="00C62105" w:rsidRPr="00410281">
        <w:rPr>
          <w:rFonts w:ascii="Soberana Sans" w:hAnsi="Soberana Sans" w:cs="Arial"/>
          <w:sz w:val="18"/>
          <w:szCs w:val="18"/>
        </w:rPr>
        <w:tab/>
        <w:t>Para efectos del artículo 14 del CFF, las personas morales residentes en el país que sean contribuyentes del Título II de la Ley del ISR, que realicen actividades empresariales en el extranjero y que por ellas constituyan un establecimiento permanente, podrán transmitir la totalidad de los activos y pasivos que conforman el patrimonio afecto a las actividades del establecimiento permanente, a otra persona moral residente en México que forme parte del mismo grupo de sociedades, definido en los términos del artículo 24 de la Ley del ISR,  sin considerar que se realiza la enajenación de los mismos, siempre que obtengan autorización de las autoridades fiscales</w:t>
      </w:r>
      <w:r w:rsidR="00160579" w:rsidRPr="00410281">
        <w:rPr>
          <w:rFonts w:ascii="Soberana Sans" w:hAnsi="Soberana Sans" w:cs="Arial"/>
          <w:sz w:val="18"/>
          <w:szCs w:val="18"/>
        </w:rPr>
        <w:t xml:space="preserve"> de conformidad con la ficha de trámite </w:t>
      </w:r>
      <w:r w:rsidR="00AD010E" w:rsidRPr="00410281">
        <w:rPr>
          <w:rFonts w:ascii="Soberana Sans" w:hAnsi="Soberana Sans" w:cs="Arial"/>
          <w:sz w:val="18"/>
          <w:szCs w:val="18"/>
        </w:rPr>
        <w:t>273</w:t>
      </w:r>
      <w:r w:rsidR="00160579" w:rsidRPr="00410281">
        <w:rPr>
          <w:rFonts w:ascii="Soberana Sans" w:hAnsi="Soberana Sans" w:cs="Arial"/>
          <w:sz w:val="18"/>
          <w:szCs w:val="18"/>
        </w:rPr>
        <w:t>/CFF “Solicitud de autorización para transmitir activos y pasivos de un establecimiento permanente en el extranjero”, contenida en el Anexo 1-A</w:t>
      </w:r>
      <w:r w:rsidR="00C62105" w:rsidRPr="00410281">
        <w:rPr>
          <w:rFonts w:ascii="Soberana Sans" w:hAnsi="Soberana Sans" w:cs="Arial"/>
          <w:sz w:val="18"/>
          <w:szCs w:val="18"/>
        </w:rPr>
        <w:t xml:space="preserve"> y cumplan con los siguientes requisitos:</w:t>
      </w:r>
    </w:p>
    <w:p w14:paraId="6CEACE4C"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I.</w:t>
      </w:r>
      <w:r w:rsidRPr="00410281">
        <w:rPr>
          <w:rFonts w:ascii="Soberana Sans" w:hAnsi="Soberana Sans" w:cs="Arial"/>
          <w:sz w:val="18"/>
          <w:szCs w:val="18"/>
        </w:rPr>
        <w:tab/>
        <w:t>Que la transmisión se realice por la totalidad de los activos y pasivos afectos a la actividad del establecimiento permanente, como consecuencia de una reestructuración corporativa entre empresas y negociaciones pertenecientes al mismo grupo.</w:t>
      </w:r>
    </w:p>
    <w:p w14:paraId="06F9322C"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II.</w:t>
      </w:r>
      <w:r w:rsidRPr="00410281">
        <w:rPr>
          <w:rFonts w:ascii="Soberana Sans" w:hAnsi="Soberana Sans" w:cs="Arial"/>
          <w:sz w:val="18"/>
          <w:szCs w:val="18"/>
        </w:rPr>
        <w:tab/>
        <w:t>Que los activos fijos afectos a la actividad que realice el establecimiento permanente en el extranjero, permanezcan en propiedad directa de la persona moral del mismo grupo que los adquiera, por un plazo no menor a 3 años a partir de la autorización de transmisión y siempre que dichos activos hayan estado afectos a la actividad por un periodo no menor a 1 año antes de la solicitud. Asimismo, la persona moral adquirente deberá permanecer dentro del grupo los tres ejercicios siguientes a aquél en el que se emita la autorización.</w:t>
      </w:r>
    </w:p>
    <w:p w14:paraId="21067F81"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III.</w:t>
      </w:r>
      <w:r w:rsidRPr="00410281">
        <w:rPr>
          <w:rFonts w:ascii="Soberana Sans" w:hAnsi="Soberana Sans" w:cs="Arial"/>
          <w:sz w:val="18"/>
          <w:szCs w:val="18"/>
        </w:rPr>
        <w:tab/>
        <w:t>Las inversiones, inventarios y activos fijos transmitidos tendrán para la sociedad adquirente el mismo saldo pendiente de depreciar y el mismo costo de adquisición que tenían en la sociedad enajenante. Para estos efectos, los activos fijos e inversiones que concluyan su vida útil podrán ser enajenados considerando como saldo pendiente de depreciar un peso.</w:t>
      </w:r>
    </w:p>
    <w:p w14:paraId="11563036" w14:textId="77777777" w:rsidR="00C62105" w:rsidRPr="00410281" w:rsidRDefault="00C62105" w:rsidP="00357DF6">
      <w:pPr>
        <w:spacing w:after="80" w:line="216" w:lineRule="exact"/>
        <w:ind w:left="1843"/>
        <w:jc w:val="both"/>
        <w:rPr>
          <w:rFonts w:ascii="Soberana Sans" w:hAnsi="Soberana Sans" w:cs="Arial"/>
          <w:sz w:val="18"/>
          <w:szCs w:val="18"/>
        </w:rPr>
      </w:pPr>
      <w:r w:rsidRPr="00410281">
        <w:rPr>
          <w:rFonts w:ascii="Soberana Sans" w:hAnsi="Soberana Sans" w:cs="Arial"/>
          <w:sz w:val="18"/>
          <w:szCs w:val="18"/>
        </w:rPr>
        <w:t>El adquirente de las inversiones y los activos fijos deberá registrarlos en su contabilidad con un monto de inversión pendiente de deducir equivalente al saldo pendiente de deducir que tenía registrado la enajenante a la fecha de la autorización y dicho valor se deducirá en el número de años que quedaban pendientes para la enajenante.</w:t>
      </w:r>
    </w:p>
    <w:p w14:paraId="328451DF" w14:textId="77777777" w:rsidR="00C62105" w:rsidRPr="00410281" w:rsidRDefault="00C62105" w:rsidP="00357DF6">
      <w:pPr>
        <w:spacing w:after="80" w:line="216" w:lineRule="exact"/>
        <w:ind w:left="1843"/>
        <w:jc w:val="both"/>
        <w:rPr>
          <w:rFonts w:ascii="Soberana Sans" w:hAnsi="Soberana Sans" w:cs="Arial"/>
          <w:sz w:val="18"/>
          <w:szCs w:val="18"/>
        </w:rPr>
      </w:pPr>
      <w:r w:rsidRPr="00410281">
        <w:rPr>
          <w:rFonts w:ascii="Soberana Sans" w:hAnsi="Soberana Sans" w:cs="Arial"/>
          <w:sz w:val="18"/>
          <w:szCs w:val="18"/>
        </w:rPr>
        <w:t>Los saldos pendientes de deducir relacionados con bienes con trato diferencial en México, se sujetarán a las limitantes establecidas en la Ley del ISR.</w:t>
      </w:r>
    </w:p>
    <w:p w14:paraId="1945B214"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IV.</w:t>
      </w:r>
      <w:r w:rsidRPr="00410281">
        <w:rPr>
          <w:rFonts w:ascii="Soberana Sans" w:hAnsi="Soberana Sans" w:cs="Arial"/>
          <w:sz w:val="18"/>
          <w:szCs w:val="18"/>
        </w:rPr>
        <w:tab/>
        <w:t>Si la transmisión del patrimonio afecto al establecimiento permanente da lugar al pago del ISR en el extranjero por el ingreso correspondiente a la enajenación del mismo, la sociedad enajenante deberá renunciar expresamente a su acreditamiento en la solicitud correspondiente.</w:t>
      </w:r>
    </w:p>
    <w:p w14:paraId="21CD697B"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lastRenderedPageBreak/>
        <w:t>V.</w:t>
      </w:r>
      <w:r w:rsidRPr="00410281">
        <w:rPr>
          <w:rFonts w:ascii="Soberana Sans" w:hAnsi="Soberana Sans" w:cs="Arial"/>
          <w:sz w:val="18"/>
          <w:szCs w:val="18"/>
        </w:rPr>
        <w:tab/>
        <w:t xml:space="preserve">Que la contraprestación que se pague por el patrimonio transmitido, consista únicamente en acciones emitidas por la sociedad adquirente del mismo. Las acciones que reciba el enajenante por el patrimonio transmitido, o el incremento de valor de las mismas que esto genere, no tendrán efecto alguno en la determinación del costo promedio por acción para los efectos de los artículos 22 y 23 de la Ley del ISR. Para estos efectos, a la aportación del patrimonio del establecimiento permanente se le dará el mismo tratamiento que a la capitalización de utilidades retenidas en la sociedad adquirente de conformidad con el artículo 78 de la Ley del ISR. </w:t>
      </w:r>
    </w:p>
    <w:p w14:paraId="605460B5"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VI.</w:t>
      </w:r>
      <w:r w:rsidRPr="00410281">
        <w:rPr>
          <w:rFonts w:ascii="Soberana Sans" w:hAnsi="Soberana Sans" w:cs="Arial"/>
          <w:sz w:val="18"/>
          <w:szCs w:val="18"/>
        </w:rPr>
        <w:tab/>
        <w:t>Las acciones que emita el adquirente deberán ser equivalentes al valor para efectos contables del patrimonio afecto al establecimiento permanente.</w:t>
      </w:r>
    </w:p>
    <w:p w14:paraId="200EF578" w14:textId="77777777" w:rsidR="00C62105" w:rsidRPr="00410281" w:rsidRDefault="00C62105" w:rsidP="00357DF6">
      <w:pPr>
        <w:spacing w:after="80" w:line="216" w:lineRule="exact"/>
        <w:ind w:left="1843"/>
        <w:jc w:val="both"/>
        <w:rPr>
          <w:rFonts w:ascii="Soberana Sans" w:hAnsi="Soberana Sans" w:cs="Arial"/>
          <w:strike/>
          <w:sz w:val="18"/>
          <w:szCs w:val="18"/>
        </w:rPr>
      </w:pPr>
      <w:r w:rsidRPr="00410281">
        <w:rPr>
          <w:rFonts w:ascii="Soberana Sans" w:hAnsi="Soberana Sans" w:cs="Arial"/>
          <w:sz w:val="18"/>
          <w:szCs w:val="18"/>
        </w:rPr>
        <w:t>En el caso de que el valor contable de los pasivos sea superior al valor contable total de los activos que se transmitan, la diferencia se considerará como ingreso acumulable; asimismo, en el caso que al momento de su transmisión se realice un ajuste al valor contable de los pasivos, el mismo se considerará como ingreso acumulable para la persona que los transmita.</w:t>
      </w:r>
      <w:r w:rsidRPr="00410281" w:rsidDel="00656661">
        <w:rPr>
          <w:rFonts w:ascii="Soberana Sans" w:hAnsi="Soberana Sans" w:cs="Arial"/>
          <w:sz w:val="18"/>
          <w:szCs w:val="18"/>
        </w:rPr>
        <w:t xml:space="preserve"> </w:t>
      </w:r>
    </w:p>
    <w:p w14:paraId="78EBBDC7" w14:textId="77777777" w:rsidR="00C62105" w:rsidRPr="00410281" w:rsidRDefault="00C62105" w:rsidP="00357DF6">
      <w:pPr>
        <w:spacing w:after="80" w:line="216" w:lineRule="exact"/>
        <w:ind w:left="1843"/>
        <w:jc w:val="both"/>
        <w:rPr>
          <w:rFonts w:ascii="Soberana Sans" w:hAnsi="Soberana Sans" w:cs="Arial"/>
          <w:sz w:val="18"/>
          <w:szCs w:val="18"/>
        </w:rPr>
      </w:pPr>
      <w:r w:rsidRPr="00410281">
        <w:rPr>
          <w:rFonts w:ascii="Soberana Sans" w:hAnsi="Soberana Sans" w:cs="Arial"/>
          <w:sz w:val="18"/>
          <w:szCs w:val="18"/>
        </w:rPr>
        <w:t>Para estos efectos, se entiende que activos consisten en la totalidad de las inversiones, activos fijos, inventarios, activos monetarios y en general cualquier bien o derecho afecto al patrimonio del establecimiento permanente.</w:t>
      </w:r>
    </w:p>
    <w:p w14:paraId="06DC7C8C" w14:textId="77777777" w:rsidR="00C62105" w:rsidRPr="00410281" w:rsidRDefault="00C62105" w:rsidP="00357DF6">
      <w:pPr>
        <w:spacing w:after="80" w:line="216" w:lineRule="exact"/>
        <w:ind w:left="1843"/>
        <w:jc w:val="both"/>
        <w:rPr>
          <w:rFonts w:ascii="Soberana Sans" w:hAnsi="Soberana Sans" w:cs="Arial"/>
          <w:sz w:val="18"/>
          <w:szCs w:val="18"/>
        </w:rPr>
      </w:pPr>
      <w:r w:rsidRPr="00410281">
        <w:rPr>
          <w:rFonts w:ascii="Soberana Sans" w:hAnsi="Soberana Sans" w:cs="Arial"/>
          <w:sz w:val="18"/>
          <w:szCs w:val="18"/>
        </w:rPr>
        <w:t>Si posterior a su trasmisión, los pasivos a que se refiere esta fracción se capitalizan, estos no generarán un costo comprobado de adquisición y no se considerarán para efectos de la Cuenta de Capital de Aportación para efectos de los artículos 22 y 78 de la Ley del ISR y demás disposiciones fiscales.</w:t>
      </w:r>
    </w:p>
    <w:p w14:paraId="53A2C712"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VII.</w:t>
      </w:r>
      <w:r w:rsidRPr="00410281">
        <w:rPr>
          <w:rFonts w:ascii="Soberana Sans" w:hAnsi="Soberana Sans" w:cs="Arial"/>
          <w:sz w:val="18"/>
          <w:szCs w:val="18"/>
        </w:rPr>
        <w:tab/>
        <w:t>El adquirente considerará un incremento en el capital social equivalente al valor neto del patrimonio adquirido, aunque éste no genere efectos en el costo fiscal de las acciones para efectos del ISR. El incremento deberá protocolizarse ante notario público, haciendo constar en dicha acta el origen de dicha operación y los datos de la autorización correspondiente.</w:t>
      </w:r>
    </w:p>
    <w:p w14:paraId="26BBF0EE"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VIII.</w:t>
      </w:r>
      <w:r w:rsidRPr="00410281">
        <w:rPr>
          <w:rFonts w:ascii="Soberana Sans" w:hAnsi="Soberana Sans" w:cs="Arial"/>
          <w:b/>
          <w:sz w:val="18"/>
          <w:szCs w:val="18"/>
        </w:rPr>
        <w:tab/>
      </w:r>
      <w:r w:rsidRPr="00410281">
        <w:rPr>
          <w:rFonts w:ascii="Soberana Sans" w:hAnsi="Soberana Sans" w:cs="Arial"/>
          <w:sz w:val="18"/>
          <w:szCs w:val="18"/>
        </w:rPr>
        <w:t>Que el establecimiento permanente se ubique en un país con el que México tenga celebrado un tratado para evitar la doble tributación, un tratado de intercambio de información o un tratado de asistencia en el cobro de créditos fiscales.</w:t>
      </w:r>
    </w:p>
    <w:p w14:paraId="1316A9D0"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IX.</w:t>
      </w:r>
      <w:r w:rsidRPr="00410281">
        <w:rPr>
          <w:rFonts w:ascii="Soberana Sans" w:hAnsi="Soberana Sans" w:cs="Arial"/>
          <w:sz w:val="18"/>
          <w:szCs w:val="18"/>
        </w:rPr>
        <w:tab/>
        <w:t>Que el establecimiento permanente haya tributado como tal en el país en el que se realizaron las actividades por un periodo no menor a 3 años anteriores a la fecha en la que se presente la solicitud.</w:t>
      </w:r>
    </w:p>
    <w:p w14:paraId="677D51BF"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X.</w:t>
      </w:r>
      <w:r w:rsidRPr="00410281">
        <w:rPr>
          <w:rFonts w:ascii="Soberana Sans" w:hAnsi="Soberana Sans" w:cs="Arial"/>
          <w:sz w:val="18"/>
          <w:szCs w:val="18"/>
        </w:rPr>
        <w:tab/>
        <w:t>Que la adquirente realice a través del establecimiento permanente las mismas actividades que se realizaban antes de la solicitud de autorización.</w:t>
      </w:r>
    </w:p>
    <w:p w14:paraId="4DB60DA3" w14:textId="77777777" w:rsidR="00C62105" w:rsidRPr="00410281" w:rsidRDefault="00C62105" w:rsidP="00357DF6">
      <w:pPr>
        <w:spacing w:after="80" w:line="216" w:lineRule="exact"/>
        <w:ind w:left="1843" w:hanging="425"/>
        <w:jc w:val="both"/>
        <w:rPr>
          <w:rFonts w:ascii="Soberana Sans" w:hAnsi="Soberana Sans" w:cs="Arial"/>
          <w:sz w:val="18"/>
          <w:szCs w:val="18"/>
        </w:rPr>
      </w:pPr>
      <w:r w:rsidRPr="00410281">
        <w:rPr>
          <w:rFonts w:ascii="Soberana Sans" w:hAnsi="Soberana Sans" w:cs="Arial"/>
          <w:b/>
          <w:sz w:val="18"/>
          <w:szCs w:val="18"/>
        </w:rPr>
        <w:t>XI.</w:t>
      </w:r>
      <w:r w:rsidRPr="00410281">
        <w:rPr>
          <w:rFonts w:ascii="Soberana Sans" w:hAnsi="Soberana Sans" w:cs="Arial"/>
          <w:sz w:val="18"/>
          <w:szCs w:val="18"/>
        </w:rPr>
        <w:tab/>
        <w:t>En caso de que, al momento de realizarse la transmisión del patrimonio afecto al establecimiento permanente, la adquirente tenga pendiente de amortizar pérdidas fiscales sufridas en ejercicios anteriores, dichas pérdidas sufridas con anterioridad no podrán aplicarse en contra de los ingresos o las ganancias que genere el establecimiento.</w:t>
      </w:r>
    </w:p>
    <w:p w14:paraId="5C360CB7" w14:textId="152BD20E" w:rsidR="00C62105" w:rsidRPr="00410281" w:rsidRDefault="00C62105" w:rsidP="00357DF6">
      <w:pPr>
        <w:spacing w:after="80" w:line="216" w:lineRule="exact"/>
        <w:ind w:left="1418"/>
        <w:jc w:val="both"/>
        <w:rPr>
          <w:rFonts w:ascii="Soberana Sans" w:hAnsi="Soberana Sans" w:cs="Arial"/>
          <w:sz w:val="18"/>
          <w:szCs w:val="18"/>
        </w:rPr>
      </w:pPr>
      <w:r w:rsidRPr="00410281">
        <w:rPr>
          <w:rFonts w:ascii="Soberana Sans" w:hAnsi="Soberana Sans" w:cs="Arial"/>
          <w:sz w:val="18"/>
          <w:szCs w:val="18"/>
        </w:rPr>
        <w:t xml:space="preserve">Adicionalmente, las personas morales que realicen las operaciones al amparo de la presente regla deberán dictaminarlas por contador público </w:t>
      </w:r>
      <w:r w:rsidR="00FE67F9" w:rsidRPr="00410281">
        <w:rPr>
          <w:rFonts w:ascii="Soberana Sans" w:hAnsi="Soberana Sans" w:cs="Arial"/>
          <w:sz w:val="18"/>
          <w:szCs w:val="18"/>
        </w:rPr>
        <w:t>inscrito</w:t>
      </w:r>
      <w:r w:rsidRPr="00410281">
        <w:rPr>
          <w:rFonts w:ascii="Soberana Sans" w:hAnsi="Soberana Sans" w:cs="Arial"/>
          <w:sz w:val="18"/>
          <w:szCs w:val="18"/>
        </w:rPr>
        <w:t xml:space="preserve"> y presentar los dictámenes respectivos ante las autoridades fiscales</w:t>
      </w:r>
      <w:r w:rsidR="00873AFE" w:rsidRPr="00410281">
        <w:rPr>
          <w:rFonts w:ascii="Soberana Sans" w:hAnsi="Soberana Sans" w:cs="Arial"/>
          <w:sz w:val="18"/>
          <w:szCs w:val="18"/>
        </w:rPr>
        <w:t xml:space="preserve"> de conformidad con la ficha de trámite</w:t>
      </w:r>
      <w:r w:rsidR="00160579" w:rsidRPr="00410281">
        <w:rPr>
          <w:rFonts w:ascii="Soberana Sans" w:hAnsi="Soberana Sans" w:cs="Arial"/>
          <w:sz w:val="18"/>
          <w:szCs w:val="18"/>
        </w:rPr>
        <w:t xml:space="preserve"> </w:t>
      </w:r>
      <w:r w:rsidR="00AD010E" w:rsidRPr="00410281">
        <w:rPr>
          <w:rFonts w:ascii="Soberana Sans" w:hAnsi="Soberana Sans" w:cs="Arial"/>
          <w:sz w:val="18"/>
          <w:szCs w:val="18"/>
        </w:rPr>
        <w:t>274</w:t>
      </w:r>
      <w:r w:rsidR="00951FE8" w:rsidRPr="00410281">
        <w:rPr>
          <w:rFonts w:ascii="Soberana Sans" w:hAnsi="Soberana Sans" w:cs="Arial"/>
          <w:sz w:val="18"/>
          <w:szCs w:val="18"/>
        </w:rPr>
        <w:t xml:space="preserve">/CFF </w:t>
      </w:r>
      <w:r w:rsidR="00236BE5" w:rsidRPr="00410281">
        <w:rPr>
          <w:rFonts w:ascii="Soberana Sans" w:hAnsi="Soberana Sans" w:cs="Arial"/>
          <w:sz w:val="18"/>
          <w:szCs w:val="18"/>
        </w:rPr>
        <w:t>“</w:t>
      </w:r>
      <w:r w:rsidR="001F3B49" w:rsidRPr="00410281">
        <w:rPr>
          <w:rFonts w:ascii="Soberana Sans" w:hAnsi="Soberana Sans" w:cs="Arial"/>
          <w:sz w:val="18"/>
          <w:szCs w:val="18"/>
        </w:rPr>
        <w:t>Presentación de</w:t>
      </w:r>
      <w:r w:rsidR="0071206A" w:rsidRPr="00410281">
        <w:rPr>
          <w:rFonts w:ascii="Soberana Sans" w:hAnsi="Soberana Sans" w:cs="Arial"/>
          <w:sz w:val="18"/>
          <w:szCs w:val="18"/>
        </w:rPr>
        <w:t>l</w:t>
      </w:r>
      <w:r w:rsidR="001F3B49" w:rsidRPr="00410281">
        <w:rPr>
          <w:rFonts w:ascii="Soberana Sans" w:hAnsi="Soberana Sans" w:cs="Arial"/>
          <w:sz w:val="18"/>
          <w:szCs w:val="18"/>
        </w:rPr>
        <w:t xml:space="preserve"> d</w:t>
      </w:r>
      <w:r w:rsidR="00C71369" w:rsidRPr="00410281">
        <w:rPr>
          <w:rFonts w:ascii="Soberana Sans" w:hAnsi="Soberana Sans" w:cs="Arial"/>
          <w:sz w:val="18"/>
          <w:szCs w:val="18"/>
        </w:rPr>
        <w:t>ictamen por la transmisión de activos y pasivos de un establecimiento permanente en el extranjero”, contenida en el Anexo 1-A</w:t>
      </w:r>
      <w:r w:rsidRPr="00410281">
        <w:rPr>
          <w:rFonts w:ascii="Soberana Sans" w:hAnsi="Soberana Sans" w:cs="Arial"/>
          <w:sz w:val="18"/>
          <w:szCs w:val="18"/>
        </w:rPr>
        <w:t xml:space="preserve">. </w:t>
      </w:r>
    </w:p>
    <w:p w14:paraId="2092B4E7" w14:textId="6EF94572" w:rsidR="00C62105" w:rsidRPr="00410281" w:rsidRDefault="00C62105" w:rsidP="00357DF6">
      <w:pPr>
        <w:spacing w:after="80" w:line="216" w:lineRule="exact"/>
        <w:ind w:left="1418"/>
        <w:jc w:val="both"/>
        <w:rPr>
          <w:rFonts w:ascii="Soberana Sans" w:hAnsi="Soberana Sans" w:cs="Arial"/>
          <w:sz w:val="18"/>
          <w:szCs w:val="18"/>
        </w:rPr>
      </w:pPr>
      <w:r w:rsidRPr="00410281">
        <w:rPr>
          <w:rFonts w:ascii="Soberana Sans" w:hAnsi="Soberana Sans" w:cs="Arial"/>
          <w:sz w:val="18"/>
          <w:szCs w:val="18"/>
        </w:rPr>
        <w:t xml:space="preserve">No obstante que se haya cumplido con el requisito establecido en la fracción I de esta regla, cualquier activo fijo que sea enajenado antes de concluir el plazo de 3 años a que se refiere la fracción II, tendrá un costo fiscal cero y para su enajenación se considerará el valor de mercado del mismo como ingreso acumulable. Si por dicha enajenación se </w:t>
      </w:r>
      <w:r w:rsidR="00B86786" w:rsidRPr="00410281">
        <w:rPr>
          <w:rFonts w:ascii="Soberana Sans" w:hAnsi="Soberana Sans" w:cs="Arial"/>
          <w:sz w:val="18"/>
          <w:szCs w:val="18"/>
        </w:rPr>
        <w:t xml:space="preserve">paga </w:t>
      </w:r>
      <w:r w:rsidRPr="00410281">
        <w:rPr>
          <w:rFonts w:ascii="Soberana Sans" w:hAnsi="Soberana Sans" w:cs="Arial"/>
          <w:sz w:val="18"/>
          <w:szCs w:val="18"/>
        </w:rPr>
        <w:t xml:space="preserve">ISR en el país en el que se encuentra afecto a la actividad, el impuesto correspondiente no será acreditable en México. </w:t>
      </w:r>
    </w:p>
    <w:p w14:paraId="3732D564" w14:textId="77777777" w:rsidR="00C62105" w:rsidRPr="00410281" w:rsidRDefault="00C62105" w:rsidP="00357DF6">
      <w:pPr>
        <w:spacing w:after="80" w:line="216" w:lineRule="exact"/>
        <w:ind w:left="1418"/>
        <w:jc w:val="both"/>
        <w:rPr>
          <w:rFonts w:ascii="Soberana Sans" w:hAnsi="Soberana Sans" w:cs="Arial"/>
          <w:i/>
          <w:sz w:val="18"/>
          <w:szCs w:val="18"/>
        </w:rPr>
      </w:pPr>
      <w:r w:rsidRPr="00410281">
        <w:rPr>
          <w:rFonts w:ascii="Soberana Sans" w:hAnsi="Soberana Sans" w:cs="Arial"/>
          <w:i/>
          <w:sz w:val="18"/>
          <w:szCs w:val="18"/>
        </w:rPr>
        <w:t>CFF 14, LISR 22, 23, 24, 78</w:t>
      </w:r>
    </w:p>
    <w:p w14:paraId="34311E24" w14:textId="77777777" w:rsidR="00C62105" w:rsidRPr="00410281" w:rsidRDefault="00C62105" w:rsidP="00C62105">
      <w:pPr>
        <w:pStyle w:val="Textoindependiente"/>
        <w:spacing w:after="80" w:line="216" w:lineRule="exact"/>
        <w:ind w:left="1418"/>
        <w:rPr>
          <w:rFonts w:ascii="Soberana Sans" w:hAnsi="Soberana Sans" w:cstheme="minorHAnsi"/>
          <w:b/>
          <w:sz w:val="18"/>
          <w:szCs w:val="18"/>
        </w:rPr>
      </w:pPr>
      <w:r w:rsidRPr="00410281">
        <w:rPr>
          <w:rFonts w:ascii="Soberana Sans" w:hAnsi="Soberana Sans" w:cstheme="minorHAnsi"/>
          <w:b/>
          <w:sz w:val="18"/>
          <w:szCs w:val="18"/>
        </w:rPr>
        <w:t>Transmisión de activos y pasivos resultantes de una orden proveniente de una autoridad federal</w:t>
      </w:r>
    </w:p>
    <w:p w14:paraId="5B5E297D" w14:textId="6FEAE140" w:rsidR="00C62105" w:rsidRPr="00410281" w:rsidRDefault="00F87DD1" w:rsidP="00C62105">
      <w:pPr>
        <w:pStyle w:val="Textoindependiente"/>
        <w:spacing w:after="80" w:line="216" w:lineRule="exact"/>
        <w:ind w:left="1418" w:hanging="1134"/>
        <w:rPr>
          <w:rFonts w:ascii="Soberana Sans" w:hAnsi="Soberana Sans" w:cstheme="minorHAnsi"/>
          <w:sz w:val="18"/>
          <w:szCs w:val="18"/>
        </w:rPr>
      </w:pPr>
      <w:r w:rsidRPr="00410281">
        <w:rPr>
          <w:rFonts w:ascii="Soberana Sans" w:hAnsi="Soberana Sans" w:cstheme="minorHAnsi"/>
          <w:b/>
          <w:sz w:val="18"/>
          <w:szCs w:val="18"/>
        </w:rPr>
        <w:t>3.1.20.</w:t>
      </w:r>
      <w:r w:rsidR="00C62105" w:rsidRPr="00410281">
        <w:rPr>
          <w:rFonts w:ascii="Soberana Sans" w:hAnsi="Soberana Sans" w:cstheme="minorHAnsi"/>
          <w:sz w:val="18"/>
          <w:szCs w:val="18"/>
        </w:rPr>
        <w:t xml:space="preserve"> </w:t>
      </w:r>
      <w:r w:rsidR="00C62105" w:rsidRPr="00410281">
        <w:rPr>
          <w:rFonts w:ascii="Soberana Sans" w:hAnsi="Soberana Sans" w:cstheme="minorHAnsi"/>
          <w:sz w:val="18"/>
          <w:szCs w:val="18"/>
        </w:rPr>
        <w:tab/>
        <w:t xml:space="preserve">Para efectos del Título II de la Ley del ISR, cuando por motivo de una resolución emitida por una autoridad competente con fundamento en los artículos 28, párrafos décimo quinto y décimo sexto de la Constitución Política de los Estados Unidos Mexicanos, y el Octavo Transitorio, fracciones III y IV, del </w:t>
      </w:r>
      <w:r w:rsidR="00C62105" w:rsidRPr="00410281">
        <w:rPr>
          <w:rFonts w:ascii="Soberana Sans" w:hAnsi="Soberana Sans" w:cstheme="minorHAnsi"/>
          <w:i/>
          <w:sz w:val="18"/>
          <w:szCs w:val="18"/>
        </w:rPr>
        <w:t>“Decreto por el que se reforman y adicionan diversas disposiciones de los artículos 6º., 7º., 27, 28, 73, 78, 94 y 105 de la Constitución Política de los Estados Unidos Mexicanos, en materia de telecomunicaciones”</w:t>
      </w:r>
      <w:r w:rsidR="00C62105" w:rsidRPr="00410281">
        <w:rPr>
          <w:rFonts w:ascii="Soberana Sans" w:hAnsi="Soberana Sans" w:cstheme="minorHAnsi"/>
          <w:sz w:val="18"/>
          <w:szCs w:val="18"/>
        </w:rPr>
        <w:t>, publicado en el Diario Oficial de la Federación el 11 de junio de 2013, una persona moral esté obligada a realizar una separación contable, funcional o estructural y, como consecuencia de ello, transmita o enajene  parte de sus activos y pasivos a otra persona moral residente en México, los efectos fiscales correspondientes se podrán determinar conforme a lo siguiente:</w:t>
      </w:r>
    </w:p>
    <w:p w14:paraId="466A7527" w14:textId="77777777" w:rsidR="00C62105" w:rsidRPr="00410281" w:rsidRDefault="00C62105" w:rsidP="00C62105">
      <w:pPr>
        <w:pStyle w:val="Prrafodelista"/>
        <w:spacing w:after="80" w:line="216" w:lineRule="exact"/>
        <w:ind w:left="1985" w:hanging="283"/>
        <w:jc w:val="both"/>
        <w:rPr>
          <w:rFonts w:ascii="Soberana Sans" w:hAnsi="Soberana Sans" w:cstheme="minorHAnsi"/>
          <w:sz w:val="18"/>
          <w:szCs w:val="18"/>
        </w:rPr>
      </w:pPr>
      <w:r w:rsidRPr="00410281">
        <w:rPr>
          <w:rFonts w:ascii="Soberana Sans" w:hAnsi="Soberana Sans" w:cstheme="minorHAnsi"/>
          <w:b/>
          <w:sz w:val="18"/>
          <w:szCs w:val="18"/>
        </w:rPr>
        <w:t>I.</w:t>
      </w:r>
      <w:r w:rsidRPr="00410281">
        <w:rPr>
          <w:rFonts w:ascii="Soberana Sans" w:hAnsi="Soberana Sans" w:cstheme="minorHAnsi"/>
          <w:sz w:val="18"/>
          <w:szCs w:val="18"/>
        </w:rPr>
        <w:t xml:space="preserve"> </w:t>
      </w:r>
      <w:r w:rsidRPr="00410281">
        <w:rPr>
          <w:rFonts w:ascii="Soberana Sans" w:hAnsi="Soberana Sans" w:cstheme="minorHAnsi"/>
          <w:sz w:val="18"/>
          <w:szCs w:val="18"/>
        </w:rPr>
        <w:tab/>
        <w:t>Por lo que se refiere a la enajenación de activos en términos del artículo 14, fracción III del CFF y la transmisión de pasivos, el enajenante estará a lo siguiente:</w:t>
      </w:r>
    </w:p>
    <w:p w14:paraId="7D1D43B6" w14:textId="77777777" w:rsidR="00C62105" w:rsidRPr="00410281" w:rsidRDefault="00C62105" w:rsidP="00C62105">
      <w:pPr>
        <w:pStyle w:val="Prrafodelista"/>
        <w:spacing w:after="80" w:line="216" w:lineRule="exact"/>
        <w:ind w:left="2268" w:hanging="284"/>
        <w:jc w:val="both"/>
        <w:rPr>
          <w:rFonts w:ascii="Soberana Sans" w:hAnsi="Soberana Sans" w:cstheme="minorHAnsi"/>
          <w:sz w:val="18"/>
          <w:szCs w:val="18"/>
        </w:rPr>
      </w:pPr>
      <w:r w:rsidRPr="00410281">
        <w:rPr>
          <w:rFonts w:ascii="Soberana Sans" w:hAnsi="Soberana Sans" w:cstheme="minorHAnsi"/>
          <w:b/>
          <w:sz w:val="18"/>
          <w:szCs w:val="18"/>
        </w:rPr>
        <w:t>a)</w:t>
      </w:r>
      <w:r w:rsidRPr="00410281">
        <w:rPr>
          <w:rFonts w:ascii="Soberana Sans" w:hAnsi="Soberana Sans" w:cstheme="minorHAnsi"/>
          <w:sz w:val="18"/>
          <w:szCs w:val="18"/>
        </w:rPr>
        <w:t xml:space="preserve"> </w:t>
      </w:r>
      <w:r w:rsidRPr="00410281">
        <w:rPr>
          <w:rFonts w:ascii="Soberana Sans" w:hAnsi="Soberana Sans" w:cstheme="minorHAnsi"/>
          <w:sz w:val="18"/>
          <w:szCs w:val="18"/>
        </w:rPr>
        <w:tab/>
        <w:t>La enajenación de activos por motivo de la separación referida podrá realizarse a su valor fiscal. En el caso de activos fijos, gastos y cargos diferidos definidos en el artículo 32 de la Ley del ISR se considerará valor fiscal, el monto original de la inversión pendiente por deducir, debidamente actualizado, que se tenga a la fecha de la enajenación de conformidad con las disposiciones fiscales.</w:t>
      </w:r>
    </w:p>
    <w:p w14:paraId="66BBA88F" w14:textId="77777777" w:rsidR="00C62105" w:rsidRPr="00410281" w:rsidRDefault="00C62105" w:rsidP="00C62105">
      <w:pPr>
        <w:pStyle w:val="Prrafodelista"/>
        <w:spacing w:after="80" w:line="216" w:lineRule="exact"/>
        <w:ind w:left="2268" w:hanging="284"/>
        <w:jc w:val="both"/>
        <w:rPr>
          <w:rFonts w:ascii="Soberana Sans" w:hAnsi="Soberana Sans" w:cstheme="minorHAnsi"/>
          <w:sz w:val="18"/>
          <w:szCs w:val="18"/>
        </w:rPr>
      </w:pPr>
      <w:r w:rsidRPr="00410281">
        <w:rPr>
          <w:rFonts w:ascii="Soberana Sans" w:hAnsi="Soberana Sans" w:cstheme="minorHAnsi"/>
          <w:b/>
          <w:sz w:val="18"/>
          <w:szCs w:val="18"/>
        </w:rPr>
        <w:t>b)</w:t>
      </w:r>
      <w:r w:rsidRPr="00410281">
        <w:rPr>
          <w:rFonts w:ascii="Soberana Sans" w:hAnsi="Soberana Sans" w:cstheme="minorHAnsi"/>
          <w:sz w:val="18"/>
          <w:szCs w:val="18"/>
        </w:rPr>
        <w:tab/>
        <w:t xml:space="preserve">En caso de qué junto con los activos señalados en el inciso anterior, también se transmitan pasivos, estos últimos no generarán un ingreso acumulable para la persona que los transmita. En el caso que el valor contable total de los pasivos sea superior al valor contable total de los activos señalados en el inciso anterior, la diferencia se considerará como ingreso acumulable. En el caso qué al momento de su trasmisión, se realice un ajuste al valor contable de los pasivos, el mismo se considerará como ingreso acumulable para la persona que los trasmita. </w:t>
      </w:r>
    </w:p>
    <w:p w14:paraId="483E5123" w14:textId="77777777" w:rsidR="00C62105" w:rsidRPr="00410281" w:rsidRDefault="00C62105" w:rsidP="00C62105">
      <w:pPr>
        <w:pStyle w:val="Prrafodelista"/>
        <w:spacing w:after="80" w:line="216" w:lineRule="exact"/>
        <w:ind w:left="2268" w:hanging="283"/>
        <w:jc w:val="both"/>
        <w:rPr>
          <w:rFonts w:ascii="Soberana Sans" w:hAnsi="Soberana Sans" w:cstheme="minorHAnsi"/>
          <w:sz w:val="18"/>
          <w:szCs w:val="18"/>
        </w:rPr>
      </w:pPr>
      <w:r w:rsidRPr="00410281">
        <w:rPr>
          <w:rFonts w:ascii="Soberana Sans" w:hAnsi="Soberana Sans" w:cstheme="minorHAnsi"/>
          <w:b/>
          <w:sz w:val="18"/>
          <w:szCs w:val="18"/>
        </w:rPr>
        <w:t>c)</w:t>
      </w:r>
      <w:r w:rsidRPr="00410281">
        <w:rPr>
          <w:rFonts w:ascii="Soberana Sans" w:hAnsi="Soberana Sans" w:cstheme="minorHAnsi"/>
          <w:sz w:val="18"/>
          <w:szCs w:val="18"/>
        </w:rPr>
        <w:tab/>
        <w:t>Las acciones que se emitan por motivo de las enajenaciones y transmisiones referidas en los incisos anteriores no tendrán costo comprobado de adquisición para efectos del artículo 22 de la Ley del ISR y demás disposiciones fiscales.</w:t>
      </w:r>
    </w:p>
    <w:p w14:paraId="19BB87BB" w14:textId="77777777" w:rsidR="00C62105" w:rsidRPr="00410281" w:rsidRDefault="00C62105" w:rsidP="00C62105">
      <w:pPr>
        <w:pStyle w:val="Prrafodelista"/>
        <w:spacing w:after="80" w:line="216" w:lineRule="exact"/>
        <w:ind w:left="2268" w:hanging="283"/>
        <w:jc w:val="both"/>
        <w:rPr>
          <w:rFonts w:ascii="Soberana Sans" w:hAnsi="Soberana Sans" w:cstheme="minorHAnsi"/>
          <w:sz w:val="18"/>
          <w:szCs w:val="18"/>
        </w:rPr>
      </w:pPr>
      <w:r w:rsidRPr="00410281">
        <w:rPr>
          <w:rFonts w:ascii="Soberana Sans" w:hAnsi="Soberana Sans" w:cstheme="minorHAnsi"/>
          <w:b/>
          <w:sz w:val="18"/>
          <w:szCs w:val="18"/>
        </w:rPr>
        <w:t>d)</w:t>
      </w:r>
      <w:r w:rsidRPr="00410281">
        <w:rPr>
          <w:rFonts w:ascii="Soberana Sans" w:hAnsi="Soberana Sans" w:cstheme="minorHAnsi"/>
          <w:sz w:val="18"/>
          <w:szCs w:val="18"/>
        </w:rPr>
        <w:tab/>
        <w:t>Para efectos del artículo 29, fracción VI de la Ley del ISR, cuando el enajenante transmita a una persona moral, al amparo de esta fracción, bienes o recursos que forma parte de un fondo de pensiones y jubilaciones de personal, complementario a los que establece la Ley del Seguro Social, y de primas de antigüedad, cuyo destino sea otro fondo de pensiones y jubilaciones de personal y de primas de antigüedad a que se refiere dicha disposición, que haya constituido la persona moral que asume obligaciones laborales, no se considerará una disposición de los bienes para fines diversos.</w:t>
      </w:r>
    </w:p>
    <w:p w14:paraId="4A52C682" w14:textId="1AA9EEE8" w:rsidR="00C62105" w:rsidRPr="00410281" w:rsidRDefault="00C62105" w:rsidP="00C62105">
      <w:pPr>
        <w:pStyle w:val="Prrafodelista"/>
        <w:spacing w:after="80" w:line="216" w:lineRule="exact"/>
        <w:ind w:left="2268" w:hanging="283"/>
        <w:jc w:val="both"/>
        <w:rPr>
          <w:rFonts w:ascii="Soberana Sans" w:hAnsi="Soberana Sans" w:cstheme="minorHAnsi"/>
          <w:sz w:val="18"/>
          <w:szCs w:val="18"/>
        </w:rPr>
      </w:pPr>
      <w:r w:rsidRPr="00410281">
        <w:rPr>
          <w:rFonts w:ascii="Soberana Sans" w:hAnsi="Soberana Sans" w:cstheme="minorHAnsi"/>
          <w:b/>
          <w:sz w:val="18"/>
          <w:szCs w:val="18"/>
        </w:rPr>
        <w:t>e)</w:t>
      </w:r>
      <w:r w:rsidRPr="00410281">
        <w:rPr>
          <w:rFonts w:ascii="Soberana Sans" w:hAnsi="Soberana Sans" w:cstheme="minorHAnsi"/>
          <w:sz w:val="18"/>
          <w:szCs w:val="18"/>
        </w:rPr>
        <w:tab/>
        <w:t>Las personas morales que realicen los actos a que se refiere esta fracción deberán de presentar, ante las autoridades fiscales, copia certificada de la resolución que les emita la autoridad competente señalada en este párrafo</w:t>
      </w:r>
      <w:r w:rsidR="00873AFE" w:rsidRPr="00410281">
        <w:rPr>
          <w:rFonts w:ascii="Soberana Sans" w:hAnsi="Soberana Sans" w:cstheme="minorHAnsi"/>
          <w:sz w:val="18"/>
          <w:szCs w:val="18"/>
          <w:lang w:val="es-MX"/>
        </w:rPr>
        <w:t>, de conformidad con la ficha de tr</w:t>
      </w:r>
      <w:r w:rsidR="004402E2" w:rsidRPr="00410281">
        <w:rPr>
          <w:rFonts w:ascii="Soberana Sans" w:hAnsi="Soberana Sans" w:cstheme="minorHAnsi"/>
          <w:sz w:val="18"/>
          <w:szCs w:val="18"/>
          <w:lang w:val="es-MX"/>
        </w:rPr>
        <w:t xml:space="preserve">ámite </w:t>
      </w:r>
      <w:r w:rsidR="00AD010E" w:rsidRPr="00410281">
        <w:rPr>
          <w:rFonts w:ascii="Soberana Sans" w:hAnsi="Soberana Sans" w:cs="Arial"/>
          <w:sz w:val="18"/>
          <w:szCs w:val="18"/>
          <w:lang w:val="es-MX"/>
        </w:rPr>
        <w:t>275</w:t>
      </w:r>
      <w:r w:rsidR="00E54159" w:rsidRPr="00410281">
        <w:rPr>
          <w:rFonts w:ascii="Soberana Sans" w:hAnsi="Soberana Sans" w:cs="Arial"/>
          <w:sz w:val="18"/>
          <w:szCs w:val="18"/>
        </w:rPr>
        <w:t>/CFF “</w:t>
      </w:r>
      <w:r w:rsidR="00FE67F9" w:rsidRPr="00410281">
        <w:rPr>
          <w:rFonts w:ascii="Soberana Sans" w:hAnsi="Soberana Sans" w:cs="Arial"/>
          <w:sz w:val="18"/>
          <w:szCs w:val="18"/>
          <w:lang w:val="es-MX"/>
        </w:rPr>
        <w:t xml:space="preserve">Presentación de la copia certificada de la resolución emitida por autoridad competente y </w:t>
      </w:r>
      <w:r w:rsidR="00FE67F9" w:rsidRPr="00410281">
        <w:rPr>
          <w:rFonts w:ascii="Soberana Sans" w:hAnsi="Soberana Sans" w:cs="Arial"/>
          <w:sz w:val="18"/>
          <w:szCs w:val="18"/>
        </w:rPr>
        <w:t>d</w:t>
      </w:r>
      <w:r w:rsidR="00E54159" w:rsidRPr="00410281">
        <w:rPr>
          <w:rFonts w:ascii="Soberana Sans" w:hAnsi="Soberana Sans" w:cs="Arial"/>
          <w:sz w:val="18"/>
          <w:szCs w:val="18"/>
        </w:rPr>
        <w:t>ictamen por la transmisión de activos y pasivos derivada de una resolución emitida por autoridad competente”, contenida en el Anexo 1-A.</w:t>
      </w:r>
    </w:p>
    <w:p w14:paraId="64963E31" w14:textId="77777777" w:rsidR="00C62105" w:rsidRPr="00410281" w:rsidRDefault="00C62105" w:rsidP="00C62105">
      <w:pPr>
        <w:pStyle w:val="Prrafodelista"/>
        <w:spacing w:after="80" w:line="216" w:lineRule="exact"/>
        <w:ind w:left="1985" w:hanging="284"/>
        <w:jc w:val="both"/>
        <w:rPr>
          <w:rFonts w:ascii="Soberana Sans" w:hAnsi="Soberana Sans" w:cstheme="minorHAnsi"/>
          <w:sz w:val="18"/>
          <w:szCs w:val="18"/>
        </w:rPr>
      </w:pPr>
      <w:r w:rsidRPr="00410281">
        <w:rPr>
          <w:rFonts w:ascii="Soberana Sans" w:hAnsi="Soberana Sans" w:cstheme="minorHAnsi"/>
          <w:b/>
          <w:sz w:val="18"/>
          <w:szCs w:val="18"/>
        </w:rPr>
        <w:t>II.</w:t>
      </w:r>
      <w:r w:rsidRPr="00410281">
        <w:rPr>
          <w:rFonts w:ascii="Soberana Sans" w:hAnsi="Soberana Sans" w:cstheme="minorHAnsi"/>
          <w:b/>
          <w:sz w:val="18"/>
          <w:szCs w:val="18"/>
        </w:rPr>
        <w:tab/>
      </w:r>
      <w:r w:rsidRPr="00410281">
        <w:rPr>
          <w:rFonts w:ascii="Soberana Sans" w:hAnsi="Soberana Sans" w:cstheme="minorHAnsi"/>
          <w:sz w:val="18"/>
          <w:szCs w:val="18"/>
        </w:rPr>
        <w:t>Por lo que se refiere a los activos enajenados y pasivos transmitidos referidos en esta regla, el adquiriente estará a lo siguiente:</w:t>
      </w:r>
    </w:p>
    <w:p w14:paraId="72DCDD40" w14:textId="77777777" w:rsidR="00C62105" w:rsidRPr="00410281" w:rsidRDefault="00C62105" w:rsidP="00C62105">
      <w:pPr>
        <w:pStyle w:val="Prrafodelista"/>
        <w:spacing w:after="80" w:line="216" w:lineRule="exact"/>
        <w:ind w:left="2268" w:hanging="283"/>
        <w:jc w:val="both"/>
        <w:rPr>
          <w:rFonts w:ascii="Soberana Sans" w:hAnsi="Soberana Sans" w:cstheme="minorHAnsi"/>
          <w:sz w:val="18"/>
          <w:szCs w:val="18"/>
        </w:rPr>
      </w:pPr>
      <w:r w:rsidRPr="00410281">
        <w:rPr>
          <w:rFonts w:ascii="Soberana Sans" w:hAnsi="Soberana Sans" w:cstheme="minorHAnsi"/>
          <w:b/>
          <w:sz w:val="18"/>
          <w:szCs w:val="18"/>
        </w:rPr>
        <w:t>a)</w:t>
      </w:r>
      <w:r w:rsidRPr="00410281">
        <w:rPr>
          <w:rFonts w:ascii="Soberana Sans" w:hAnsi="Soberana Sans" w:cstheme="minorHAnsi"/>
          <w:b/>
          <w:sz w:val="18"/>
          <w:szCs w:val="18"/>
        </w:rPr>
        <w:tab/>
      </w:r>
      <w:r w:rsidRPr="00410281">
        <w:rPr>
          <w:rFonts w:ascii="Soberana Sans" w:hAnsi="Soberana Sans" w:cstheme="minorHAnsi"/>
          <w:sz w:val="18"/>
          <w:szCs w:val="18"/>
        </w:rPr>
        <w:t>Los activos señalados en el inciso a) de la fracción I de esta regla, se registrarán al valor fiscal que haya servido de base para su enajenación. En el caso de activos fijos, gastos y cargos diferidos definidos en el artículo 32 de la Ley del ISR, el adquiriente continuará realizando su deducción en los mismos términos que lo realizaba el enajenante y considerando los mismos montos deducibles durante cada ejercicio, hasta agotar la parte pendiente por deducir que se tenía previo a la enajenación.</w:t>
      </w:r>
    </w:p>
    <w:p w14:paraId="1E20DF55" w14:textId="77777777" w:rsidR="00C62105" w:rsidRPr="00410281" w:rsidRDefault="00C62105" w:rsidP="00C62105">
      <w:pPr>
        <w:pStyle w:val="Prrafodelista"/>
        <w:spacing w:after="80" w:line="216" w:lineRule="exact"/>
        <w:ind w:left="2268" w:hanging="283"/>
        <w:jc w:val="both"/>
        <w:rPr>
          <w:rFonts w:ascii="Soberana Sans" w:hAnsi="Soberana Sans" w:cstheme="minorHAnsi"/>
          <w:sz w:val="18"/>
          <w:szCs w:val="18"/>
        </w:rPr>
      </w:pPr>
      <w:r w:rsidRPr="00410281">
        <w:rPr>
          <w:rFonts w:ascii="Soberana Sans" w:hAnsi="Soberana Sans" w:cstheme="minorHAnsi"/>
          <w:b/>
          <w:sz w:val="18"/>
          <w:szCs w:val="18"/>
        </w:rPr>
        <w:t>b)</w:t>
      </w:r>
      <w:r w:rsidRPr="00410281">
        <w:rPr>
          <w:rFonts w:ascii="Soberana Sans" w:hAnsi="Soberana Sans" w:cstheme="minorHAnsi"/>
          <w:b/>
          <w:sz w:val="18"/>
          <w:szCs w:val="18"/>
        </w:rPr>
        <w:tab/>
      </w:r>
      <w:r w:rsidRPr="00410281">
        <w:rPr>
          <w:rFonts w:ascii="Soberana Sans" w:hAnsi="Soberana Sans" w:cstheme="minorHAnsi"/>
          <w:sz w:val="18"/>
          <w:szCs w:val="18"/>
        </w:rPr>
        <w:t>Los pasivos señalados en el inciso b) de la fracción I de esta regla, se registrarán al valor contable que haya servido de base para su transmisión.</w:t>
      </w:r>
    </w:p>
    <w:p w14:paraId="6E2475C0" w14:textId="77777777" w:rsidR="00C62105" w:rsidRPr="00410281" w:rsidRDefault="00C62105" w:rsidP="00C62105">
      <w:pPr>
        <w:pStyle w:val="Prrafodelista"/>
        <w:spacing w:after="80" w:line="216" w:lineRule="exact"/>
        <w:ind w:left="2268" w:hanging="283"/>
        <w:jc w:val="both"/>
        <w:rPr>
          <w:rFonts w:ascii="Soberana Sans" w:hAnsi="Soberana Sans" w:cstheme="minorHAnsi"/>
          <w:sz w:val="18"/>
          <w:szCs w:val="18"/>
        </w:rPr>
      </w:pPr>
      <w:r w:rsidRPr="00410281">
        <w:rPr>
          <w:rFonts w:ascii="Soberana Sans" w:hAnsi="Soberana Sans" w:cstheme="minorHAnsi"/>
          <w:b/>
          <w:sz w:val="18"/>
          <w:szCs w:val="18"/>
        </w:rPr>
        <w:t>c)</w:t>
      </w:r>
      <w:r w:rsidRPr="00410281">
        <w:rPr>
          <w:rFonts w:ascii="Soberana Sans" w:hAnsi="Soberana Sans" w:cstheme="minorHAnsi"/>
          <w:b/>
          <w:sz w:val="18"/>
          <w:szCs w:val="18"/>
        </w:rPr>
        <w:tab/>
      </w:r>
      <w:r w:rsidRPr="00410281">
        <w:rPr>
          <w:rFonts w:ascii="Soberana Sans" w:hAnsi="Soberana Sans" w:cstheme="minorHAnsi"/>
          <w:sz w:val="18"/>
          <w:szCs w:val="18"/>
        </w:rPr>
        <w:t>Los activos señalados en la fracción I de esta regla que hayan sido recibidos por el adquiriente, no se considerarán para efectos de la Cuenta de Capital de Aportación a que se refiere el artículo 78 de la Ley del ISR.</w:t>
      </w:r>
    </w:p>
    <w:p w14:paraId="07C63799" w14:textId="77777777" w:rsidR="00C62105" w:rsidRPr="00410281" w:rsidRDefault="00C62105" w:rsidP="00C62105">
      <w:pPr>
        <w:pStyle w:val="Prrafodelista"/>
        <w:spacing w:after="80" w:line="216" w:lineRule="exact"/>
        <w:ind w:left="1985" w:hanging="284"/>
        <w:jc w:val="both"/>
        <w:rPr>
          <w:rFonts w:ascii="Soberana Sans" w:hAnsi="Soberana Sans" w:cstheme="minorHAnsi"/>
          <w:sz w:val="18"/>
          <w:szCs w:val="18"/>
        </w:rPr>
      </w:pPr>
      <w:r w:rsidRPr="00410281">
        <w:rPr>
          <w:rFonts w:ascii="Soberana Sans" w:hAnsi="Soberana Sans" w:cstheme="minorHAnsi"/>
          <w:b/>
          <w:sz w:val="18"/>
          <w:szCs w:val="18"/>
        </w:rPr>
        <w:t>III.</w:t>
      </w:r>
      <w:r w:rsidRPr="00410281">
        <w:rPr>
          <w:rFonts w:ascii="Soberana Sans" w:hAnsi="Soberana Sans" w:cstheme="minorHAnsi"/>
          <w:b/>
          <w:sz w:val="18"/>
          <w:szCs w:val="18"/>
        </w:rPr>
        <w:tab/>
      </w:r>
      <w:r w:rsidRPr="00410281">
        <w:rPr>
          <w:rFonts w:ascii="Soberana Sans" w:hAnsi="Soberana Sans" w:cstheme="minorHAnsi"/>
          <w:sz w:val="18"/>
          <w:szCs w:val="18"/>
        </w:rPr>
        <w:t>Si por motivo de la enajenación o transmisión de activos y pasivos, se enajenan acciones emitidas por el adquiriente de los activos y pasivos señalados en esta regla, dichas acciones se podrán enajenar a su costo fiscal.</w:t>
      </w:r>
    </w:p>
    <w:p w14:paraId="5A4F8AF9" w14:textId="77777777" w:rsidR="00C62105" w:rsidRPr="00410281" w:rsidRDefault="00C62105" w:rsidP="00C62105">
      <w:pPr>
        <w:pStyle w:val="Textoindependiente"/>
        <w:spacing w:after="80" w:line="216" w:lineRule="exact"/>
        <w:ind w:left="1418"/>
        <w:rPr>
          <w:rFonts w:ascii="Soberana Sans" w:hAnsi="Soberana Sans" w:cstheme="minorHAnsi"/>
          <w:sz w:val="18"/>
          <w:szCs w:val="18"/>
        </w:rPr>
      </w:pPr>
      <w:r w:rsidRPr="00410281">
        <w:rPr>
          <w:rFonts w:ascii="Soberana Sans" w:hAnsi="Soberana Sans" w:cstheme="minorHAnsi"/>
          <w:sz w:val="18"/>
          <w:szCs w:val="18"/>
        </w:rPr>
        <w:t>Si posterior a su transmisión, los pasivos referidos en el párrafo anterior se capitalizan, estos no generarán un costo comprobado de adquisición y no se considerarán para efectos de la Cuenta de Capital de Aportación para efectos de los artículos 22 y 78 de la Ley del ISR y demás disposiciones fiscales.</w:t>
      </w:r>
    </w:p>
    <w:p w14:paraId="38935A9C" w14:textId="77777777" w:rsidR="00C62105" w:rsidRPr="00410281" w:rsidRDefault="00C62105" w:rsidP="00C62105">
      <w:pPr>
        <w:pStyle w:val="Textoindependiente"/>
        <w:spacing w:after="80" w:line="216" w:lineRule="exact"/>
        <w:ind w:left="1418"/>
        <w:rPr>
          <w:rFonts w:ascii="Soberana Sans" w:hAnsi="Soberana Sans" w:cstheme="minorHAnsi"/>
          <w:sz w:val="18"/>
          <w:szCs w:val="18"/>
        </w:rPr>
      </w:pPr>
      <w:r w:rsidRPr="00410281">
        <w:rPr>
          <w:rFonts w:ascii="Soberana Sans" w:hAnsi="Soberana Sans" w:cstheme="minorHAnsi"/>
          <w:sz w:val="18"/>
          <w:szCs w:val="18"/>
        </w:rPr>
        <w:t>Lo dispuesto en esta regla sólo será aplicable siempre que las enajenaciones o transmisiones señaladas en la misma, se efectúen entre personas morales que pertenezcan el mismo grupo de sociedades. Para efectos de esta regla, se entiende por grupo de sociedades al conjunto de sociedades cuyas acciones con derecho a voto, representativas de su capital social, sean propiedad directa o indirecta de las mismas personas en por lo menos 51%.</w:t>
      </w:r>
    </w:p>
    <w:p w14:paraId="0807D895" w14:textId="74ACDC74" w:rsidR="00C62105" w:rsidRPr="00410281" w:rsidRDefault="00C62105" w:rsidP="00C62105">
      <w:pPr>
        <w:pStyle w:val="Textoindependiente"/>
        <w:spacing w:after="80" w:line="216" w:lineRule="exact"/>
        <w:ind w:left="1418"/>
        <w:rPr>
          <w:rFonts w:ascii="Soberana Sans" w:hAnsi="Soberana Sans" w:cstheme="minorHAnsi"/>
          <w:sz w:val="18"/>
          <w:szCs w:val="18"/>
        </w:rPr>
      </w:pPr>
      <w:r w:rsidRPr="00410281">
        <w:rPr>
          <w:rFonts w:ascii="Soberana Sans" w:hAnsi="Soberana Sans" w:cstheme="minorHAnsi"/>
          <w:sz w:val="18"/>
          <w:szCs w:val="18"/>
        </w:rPr>
        <w:t xml:space="preserve">Adicionalmente, las personas morales que realicen las operaciones al amparo de la presente regla deberán dictaminarlas por contador público </w:t>
      </w:r>
      <w:r w:rsidR="00E73B86" w:rsidRPr="00410281">
        <w:rPr>
          <w:rFonts w:ascii="Soberana Sans" w:hAnsi="Soberana Sans" w:cstheme="minorHAnsi"/>
          <w:sz w:val="18"/>
          <w:szCs w:val="18"/>
        </w:rPr>
        <w:t>inscrito</w:t>
      </w:r>
      <w:r w:rsidRPr="00410281">
        <w:rPr>
          <w:rFonts w:ascii="Soberana Sans" w:hAnsi="Soberana Sans" w:cstheme="minorHAnsi"/>
          <w:sz w:val="18"/>
          <w:szCs w:val="18"/>
        </w:rPr>
        <w:t xml:space="preserve"> y presentar los dictámenes respectivos ante las autoridades fiscales.</w:t>
      </w:r>
    </w:p>
    <w:p w14:paraId="300C91AA" w14:textId="77777777" w:rsidR="00C62105" w:rsidRPr="00410281" w:rsidRDefault="00C62105" w:rsidP="00C62105">
      <w:pPr>
        <w:pStyle w:val="Textoindependiente"/>
        <w:spacing w:after="80" w:line="216" w:lineRule="exact"/>
        <w:ind w:left="1418"/>
        <w:rPr>
          <w:rFonts w:ascii="Soberana Sans" w:hAnsi="Soberana Sans" w:cstheme="minorHAnsi"/>
          <w:sz w:val="18"/>
          <w:szCs w:val="18"/>
        </w:rPr>
      </w:pPr>
      <w:r w:rsidRPr="00410281">
        <w:rPr>
          <w:rFonts w:ascii="Soberana Sans" w:hAnsi="Soberana Sans" w:cstheme="minorHAnsi"/>
          <w:sz w:val="18"/>
          <w:szCs w:val="18"/>
        </w:rPr>
        <w:t>El tratamiento de esta regla será aplicable siempre que las operaciones y obligaciones señaladas en la misma, se cumplan dentro de los plazos establecidos en la resolución que emita la autoridad competente señalada en el primer párrafo.</w:t>
      </w:r>
    </w:p>
    <w:p w14:paraId="6D3CEFCF" w14:textId="51D9AB24" w:rsidR="00C62105" w:rsidRPr="00410281" w:rsidRDefault="00C62105" w:rsidP="00C62105">
      <w:pPr>
        <w:spacing w:after="80" w:line="216" w:lineRule="exact"/>
        <w:ind w:left="1418"/>
        <w:jc w:val="both"/>
        <w:rPr>
          <w:rFonts w:ascii="Soberana Sans" w:hAnsi="Soberana Sans" w:cstheme="minorHAnsi"/>
          <w:i/>
          <w:sz w:val="18"/>
          <w:szCs w:val="18"/>
        </w:rPr>
      </w:pPr>
      <w:r w:rsidRPr="00410281">
        <w:rPr>
          <w:rFonts w:ascii="Soberana Sans" w:hAnsi="Soberana Sans" w:cstheme="minorHAnsi"/>
          <w:i/>
          <w:sz w:val="18"/>
          <w:szCs w:val="18"/>
        </w:rPr>
        <w:t>CPEUM 28, CFF 14, LISR 22, 29, 32, 78</w:t>
      </w:r>
    </w:p>
    <w:p w14:paraId="33DE0F1A" w14:textId="77777777" w:rsidR="00C70439" w:rsidRPr="00410281" w:rsidRDefault="00C70439" w:rsidP="00C70439">
      <w:pPr>
        <w:spacing w:after="101" w:line="222" w:lineRule="exact"/>
        <w:ind w:left="1418"/>
        <w:jc w:val="both"/>
        <w:rPr>
          <w:rFonts w:ascii="Soberana Sans" w:hAnsi="Soberana Sans" w:cs="Arial"/>
          <w:b/>
          <w:sz w:val="18"/>
          <w:szCs w:val="18"/>
        </w:rPr>
      </w:pPr>
      <w:r w:rsidRPr="00410281">
        <w:rPr>
          <w:rFonts w:ascii="Soberana Sans" w:hAnsi="Soberana Sans" w:cs="Arial"/>
          <w:b/>
          <w:sz w:val="18"/>
          <w:szCs w:val="18"/>
        </w:rPr>
        <w:t xml:space="preserve">Procedimiento por el cual el contratante realiza la consulta de la información autorizada por el contratista por actividades de subcontratación laboral </w:t>
      </w:r>
    </w:p>
    <w:p w14:paraId="68F623AC" w14:textId="77777777" w:rsidR="00C70439" w:rsidRPr="00410281" w:rsidRDefault="00C70439" w:rsidP="00C70439">
      <w:pPr>
        <w:spacing w:after="101" w:line="222" w:lineRule="exact"/>
        <w:ind w:left="1418" w:hanging="1134"/>
        <w:jc w:val="both"/>
        <w:rPr>
          <w:rFonts w:ascii="Soberana Sans" w:hAnsi="Soberana Sans" w:cs="Arial"/>
          <w:sz w:val="18"/>
          <w:szCs w:val="18"/>
        </w:rPr>
      </w:pPr>
      <w:r w:rsidRPr="00410281">
        <w:rPr>
          <w:rFonts w:ascii="Soberana Sans" w:hAnsi="Soberana Sans" w:cs="Arial"/>
          <w:b/>
          <w:sz w:val="18"/>
          <w:szCs w:val="18"/>
        </w:rPr>
        <w:t>3.3.1.50.</w:t>
      </w:r>
      <w:r w:rsidRPr="00410281">
        <w:rPr>
          <w:rFonts w:ascii="Soberana Sans" w:hAnsi="Soberana Sans" w:cs="Arial"/>
          <w:sz w:val="18"/>
          <w:szCs w:val="18"/>
        </w:rPr>
        <w:tab/>
        <w:t>Para efectos de los artículos 27, fracción V, último párrafo de la Ley del ISR, 5, fracción II y 32, fracción VIII de la Ley del IVA y de la regla 3.3.1.44., se realizará el siguiente procedimiento:</w:t>
      </w:r>
    </w:p>
    <w:p w14:paraId="45C36569" w14:textId="3A1F0F05" w:rsidR="00C70439" w:rsidRPr="00410281" w:rsidRDefault="00C70439" w:rsidP="00C70439">
      <w:pPr>
        <w:tabs>
          <w:tab w:val="left" w:pos="1843"/>
        </w:tabs>
        <w:spacing w:after="101" w:line="222" w:lineRule="exact"/>
        <w:ind w:left="1843" w:hanging="427"/>
        <w:jc w:val="both"/>
        <w:rPr>
          <w:rFonts w:ascii="Soberana Sans" w:hAnsi="Soberana Sans" w:cs="Arial"/>
          <w:sz w:val="18"/>
          <w:szCs w:val="18"/>
        </w:rPr>
      </w:pPr>
      <w:r w:rsidRPr="00410281">
        <w:rPr>
          <w:rFonts w:ascii="Soberana Sans" w:hAnsi="Soberana Sans" w:cs="Arial"/>
          <w:b/>
          <w:sz w:val="18"/>
          <w:szCs w:val="18"/>
        </w:rPr>
        <w:t>A.</w:t>
      </w:r>
      <w:r w:rsidRPr="00410281">
        <w:rPr>
          <w:rFonts w:ascii="Soberana Sans" w:hAnsi="Soberana Sans" w:cs="Arial"/>
          <w:sz w:val="18"/>
          <w:szCs w:val="18"/>
        </w:rPr>
        <w:tab/>
        <w:t xml:space="preserve">El contratante ingresará al aplicativo “Consulta por el contratante de CFDI y declaraciones” disponible en el buzón tributario, </w:t>
      </w:r>
      <w:r w:rsidR="009C2EAF" w:rsidRPr="00410281">
        <w:rPr>
          <w:rFonts w:ascii="Soberana Sans" w:hAnsi="Soberana Sans" w:cs="Arial"/>
          <w:sz w:val="18"/>
          <w:szCs w:val="18"/>
        </w:rPr>
        <w:t>a partir del último día del</w:t>
      </w:r>
      <w:r w:rsidRPr="00410281">
        <w:rPr>
          <w:rFonts w:ascii="Soberana Sans" w:hAnsi="Soberana Sans" w:cs="Arial"/>
          <w:sz w:val="18"/>
          <w:szCs w:val="18"/>
        </w:rPr>
        <w:t xml:space="preserve"> mes </w:t>
      </w:r>
      <w:r w:rsidR="0063310C" w:rsidRPr="00410281">
        <w:rPr>
          <w:rFonts w:ascii="Soberana Sans" w:hAnsi="Soberana Sans" w:cs="Arial"/>
          <w:sz w:val="18"/>
          <w:szCs w:val="18"/>
        </w:rPr>
        <w:t xml:space="preserve">inmediato posterior </w:t>
      </w:r>
      <w:r w:rsidR="005F7BD5" w:rsidRPr="00410281">
        <w:rPr>
          <w:rFonts w:ascii="Soberana Sans" w:hAnsi="Soberana Sans" w:cs="Arial"/>
          <w:sz w:val="18"/>
          <w:szCs w:val="18"/>
        </w:rPr>
        <w:t xml:space="preserve">al </w:t>
      </w:r>
      <w:r w:rsidR="00FA5792">
        <w:rPr>
          <w:rFonts w:ascii="Soberana Sans" w:hAnsi="Soberana Sans" w:cs="Arial"/>
          <w:sz w:val="18"/>
          <w:szCs w:val="18"/>
        </w:rPr>
        <w:t xml:space="preserve">mes </w:t>
      </w:r>
      <w:bookmarkStart w:id="0" w:name="_GoBack"/>
      <w:bookmarkEnd w:id="0"/>
      <w:r w:rsidRPr="00410281">
        <w:rPr>
          <w:rFonts w:ascii="Soberana Sans" w:hAnsi="Soberana Sans" w:cs="Arial"/>
          <w:sz w:val="18"/>
          <w:szCs w:val="18"/>
        </w:rPr>
        <w:t>que se requiera consultar, y deberá:</w:t>
      </w:r>
    </w:p>
    <w:p w14:paraId="0793C45D" w14:textId="3FDEEAD3" w:rsidR="0063310C" w:rsidRPr="00410281" w:rsidRDefault="0063310C" w:rsidP="00C70439">
      <w:pPr>
        <w:tabs>
          <w:tab w:val="left" w:pos="1843"/>
        </w:tabs>
        <w:spacing w:after="101" w:line="222" w:lineRule="exact"/>
        <w:ind w:left="1843" w:hanging="427"/>
        <w:jc w:val="both"/>
        <w:rPr>
          <w:rFonts w:ascii="Soberana Sans" w:hAnsi="Soberana Sans" w:cs="Arial"/>
          <w:sz w:val="18"/>
          <w:szCs w:val="18"/>
        </w:rPr>
      </w:pPr>
      <w:r w:rsidRPr="00410281">
        <w:rPr>
          <w:rFonts w:ascii="Soberana Sans" w:hAnsi="Soberana Sans" w:cs="Arial"/>
          <w:sz w:val="18"/>
          <w:szCs w:val="18"/>
        </w:rPr>
        <w:t>………………………………………………………………………………………………………………………………………………………………………….</w:t>
      </w:r>
    </w:p>
    <w:p w14:paraId="3E41DB62" w14:textId="77777777" w:rsidR="00C70439" w:rsidRPr="00410281" w:rsidRDefault="00C70439" w:rsidP="00C70439">
      <w:pPr>
        <w:spacing w:after="101" w:line="223" w:lineRule="exact"/>
        <w:ind w:left="1418"/>
        <w:jc w:val="both"/>
        <w:rPr>
          <w:rFonts w:ascii="Soberana Sans" w:hAnsi="Soberana Sans" w:cs="Arial"/>
          <w:i/>
          <w:sz w:val="18"/>
          <w:szCs w:val="18"/>
        </w:rPr>
      </w:pPr>
      <w:r w:rsidRPr="00410281">
        <w:rPr>
          <w:rFonts w:ascii="Soberana Sans" w:hAnsi="Soberana Sans" w:cs="Arial"/>
          <w:i/>
          <w:sz w:val="18"/>
          <w:szCs w:val="18"/>
        </w:rPr>
        <w:t>LISR 27, LIVA 5, 32, RMF 2018 3.3.1.44., 3.3.1.49.</w:t>
      </w:r>
    </w:p>
    <w:p w14:paraId="55C8DC39" w14:textId="77777777" w:rsidR="00C62105" w:rsidRPr="00410281" w:rsidRDefault="00C62105" w:rsidP="00C62105">
      <w:pPr>
        <w:pStyle w:val="Textoindependiente"/>
        <w:spacing w:after="80" w:line="216" w:lineRule="exact"/>
        <w:ind w:left="1418"/>
        <w:rPr>
          <w:rFonts w:ascii="Soberana Sans" w:hAnsi="Soberana Sans" w:cstheme="minorHAnsi"/>
          <w:b/>
          <w:sz w:val="18"/>
          <w:szCs w:val="18"/>
        </w:rPr>
      </w:pPr>
      <w:r w:rsidRPr="00410281">
        <w:rPr>
          <w:rFonts w:ascii="Soberana Sans" w:hAnsi="Soberana Sans" w:cstheme="minorHAnsi"/>
          <w:b/>
          <w:sz w:val="18"/>
          <w:szCs w:val="18"/>
        </w:rPr>
        <w:t>Valor de la contraprestación en la transmisión de activos y pasivos resultantes de una orden proveniente de una autoridad federal</w:t>
      </w:r>
    </w:p>
    <w:p w14:paraId="15B552A6" w14:textId="6AB39535" w:rsidR="00C62105" w:rsidRPr="00410281" w:rsidRDefault="008E525F" w:rsidP="00C62105">
      <w:pPr>
        <w:pStyle w:val="Textoindependiente"/>
        <w:spacing w:after="80" w:line="216" w:lineRule="exact"/>
        <w:ind w:left="1418" w:hanging="1134"/>
        <w:rPr>
          <w:rFonts w:ascii="Soberana Sans" w:hAnsi="Soberana Sans" w:cstheme="minorHAnsi"/>
          <w:sz w:val="18"/>
          <w:szCs w:val="18"/>
        </w:rPr>
      </w:pPr>
      <w:r w:rsidRPr="00410281">
        <w:rPr>
          <w:rFonts w:ascii="Soberana Sans" w:hAnsi="Soberana Sans" w:cstheme="minorHAnsi"/>
          <w:b/>
          <w:sz w:val="18"/>
          <w:szCs w:val="18"/>
        </w:rPr>
        <w:t>4.2.7</w:t>
      </w:r>
      <w:r w:rsidR="00C62105" w:rsidRPr="00410281">
        <w:rPr>
          <w:rFonts w:ascii="Soberana Sans" w:hAnsi="Soberana Sans" w:cstheme="minorHAnsi"/>
          <w:b/>
          <w:sz w:val="18"/>
          <w:szCs w:val="18"/>
        </w:rPr>
        <w:t>.</w:t>
      </w:r>
      <w:r w:rsidR="00C62105" w:rsidRPr="00410281">
        <w:rPr>
          <w:rFonts w:ascii="Soberana Sans" w:hAnsi="Soberana Sans" w:cstheme="minorHAnsi"/>
          <w:sz w:val="18"/>
          <w:szCs w:val="18"/>
        </w:rPr>
        <w:t xml:space="preserve"> </w:t>
      </w:r>
      <w:r w:rsidR="00C62105" w:rsidRPr="00410281">
        <w:rPr>
          <w:rFonts w:ascii="Soberana Sans" w:hAnsi="Soberana Sans" w:cstheme="minorHAnsi"/>
          <w:sz w:val="18"/>
          <w:szCs w:val="18"/>
        </w:rPr>
        <w:tab/>
        <w:t xml:space="preserve">Para efectos del artículo 34 de la Ley del IVA, cuando una persona moral reciba como contraprestación acciones como consecuencia de la enajenación de activos de conformidad con la regla </w:t>
      </w:r>
      <w:r w:rsidR="00D248E1" w:rsidRPr="00410281">
        <w:rPr>
          <w:rFonts w:ascii="Soberana Sans" w:hAnsi="Soberana Sans" w:cstheme="minorHAnsi"/>
          <w:sz w:val="18"/>
          <w:szCs w:val="18"/>
        </w:rPr>
        <w:t>3.1.20.</w:t>
      </w:r>
      <w:r w:rsidR="00C62105" w:rsidRPr="00410281">
        <w:rPr>
          <w:rFonts w:ascii="Soberana Sans" w:hAnsi="Soberana Sans" w:cstheme="minorHAnsi"/>
          <w:sz w:val="18"/>
          <w:szCs w:val="18"/>
        </w:rPr>
        <w:t>, se considerará como el valor de la contraprestación, el valor fiscal referido en dicha regla.</w:t>
      </w:r>
    </w:p>
    <w:p w14:paraId="683058E8" w14:textId="6ACD480F" w:rsidR="00C62105" w:rsidRPr="00410281" w:rsidRDefault="00C62105" w:rsidP="00C62105">
      <w:pPr>
        <w:pStyle w:val="Textoindependiente"/>
        <w:spacing w:after="80" w:line="216" w:lineRule="exact"/>
        <w:ind w:left="1418"/>
        <w:rPr>
          <w:rFonts w:ascii="Soberana Sans" w:hAnsi="Soberana Sans" w:cstheme="minorHAnsi"/>
          <w:i/>
          <w:sz w:val="18"/>
          <w:szCs w:val="18"/>
        </w:rPr>
      </w:pPr>
      <w:r w:rsidRPr="00410281">
        <w:rPr>
          <w:rFonts w:ascii="Soberana Sans" w:hAnsi="Soberana Sans" w:cstheme="minorHAnsi"/>
          <w:i/>
          <w:sz w:val="18"/>
          <w:szCs w:val="18"/>
        </w:rPr>
        <w:t>LIVA 34</w:t>
      </w:r>
      <w:r w:rsidR="0071206A" w:rsidRPr="00410281">
        <w:rPr>
          <w:rFonts w:ascii="Soberana Sans" w:hAnsi="Soberana Sans" w:cstheme="minorHAnsi"/>
          <w:i/>
          <w:sz w:val="18"/>
          <w:szCs w:val="18"/>
        </w:rPr>
        <w:t>, RMF 2018 3.1.20.</w:t>
      </w:r>
      <w:r w:rsidR="00BA74BD" w:rsidRPr="00410281">
        <w:rPr>
          <w:rFonts w:ascii="Soberana Sans" w:hAnsi="Soberana Sans" w:cstheme="minorHAnsi"/>
          <w:i/>
          <w:sz w:val="18"/>
          <w:szCs w:val="18"/>
        </w:rPr>
        <w:t>”</w:t>
      </w:r>
    </w:p>
    <w:p w14:paraId="21CFBBBD" w14:textId="781F424B" w:rsidR="00C62105" w:rsidRPr="00410281" w:rsidRDefault="00C62105" w:rsidP="00C62105">
      <w:pPr>
        <w:pStyle w:val="Textoindependiente"/>
        <w:spacing w:after="80" w:line="216" w:lineRule="exact"/>
        <w:ind w:left="1418"/>
        <w:rPr>
          <w:rFonts w:ascii="Soberana Sans" w:hAnsi="Soberana Sans" w:cstheme="minorHAnsi"/>
          <w:i/>
          <w:sz w:val="18"/>
          <w:szCs w:val="18"/>
        </w:rPr>
      </w:pPr>
    </w:p>
    <w:p w14:paraId="623F37E6" w14:textId="11FDFD06" w:rsidR="0038141D" w:rsidRPr="00410281" w:rsidRDefault="0038141D" w:rsidP="0038141D">
      <w:pPr>
        <w:pStyle w:val="Textoindependiente"/>
        <w:spacing w:after="80" w:line="216" w:lineRule="exact"/>
        <w:ind w:left="1418" w:hanging="1418"/>
        <w:rPr>
          <w:rFonts w:ascii="Soberana Sans" w:hAnsi="Soberana Sans" w:cstheme="minorHAnsi"/>
          <w:sz w:val="18"/>
          <w:szCs w:val="18"/>
        </w:rPr>
      </w:pPr>
      <w:r w:rsidRPr="00410281">
        <w:rPr>
          <w:rFonts w:ascii="Soberana Sans" w:hAnsi="Soberana Sans" w:cstheme="minorHAnsi"/>
          <w:b/>
          <w:sz w:val="18"/>
          <w:szCs w:val="18"/>
        </w:rPr>
        <w:t>TERCERO.</w:t>
      </w:r>
      <w:r w:rsidRPr="00410281">
        <w:rPr>
          <w:rFonts w:ascii="Soberana Sans" w:hAnsi="Soberana Sans" w:cstheme="minorHAnsi"/>
          <w:i/>
          <w:sz w:val="18"/>
          <w:szCs w:val="18"/>
        </w:rPr>
        <w:tab/>
      </w:r>
      <w:r w:rsidRPr="00410281">
        <w:rPr>
          <w:rFonts w:ascii="Soberana Sans" w:hAnsi="Soberana Sans" w:cstheme="minorHAnsi"/>
          <w:sz w:val="18"/>
          <w:szCs w:val="18"/>
        </w:rPr>
        <w:t>Se modifica</w:t>
      </w:r>
      <w:r w:rsidR="00873AFE" w:rsidRPr="00410281">
        <w:rPr>
          <w:rFonts w:ascii="Soberana Sans" w:hAnsi="Soberana Sans" w:cstheme="minorHAnsi"/>
          <w:sz w:val="18"/>
          <w:szCs w:val="18"/>
        </w:rPr>
        <w:t>n los</w:t>
      </w:r>
      <w:r w:rsidRPr="00410281">
        <w:rPr>
          <w:rFonts w:ascii="Soberana Sans" w:hAnsi="Soberana Sans" w:cstheme="minorHAnsi"/>
          <w:sz w:val="18"/>
          <w:szCs w:val="18"/>
        </w:rPr>
        <w:t xml:space="preserve"> Anexo</w:t>
      </w:r>
      <w:r w:rsidR="00873AFE" w:rsidRPr="00410281">
        <w:rPr>
          <w:rFonts w:ascii="Soberana Sans" w:hAnsi="Soberana Sans" w:cstheme="minorHAnsi"/>
          <w:sz w:val="18"/>
          <w:szCs w:val="18"/>
        </w:rPr>
        <w:t>s</w:t>
      </w:r>
      <w:r w:rsidRPr="00410281">
        <w:rPr>
          <w:rFonts w:ascii="Soberana Sans" w:hAnsi="Soberana Sans" w:cstheme="minorHAnsi"/>
          <w:sz w:val="18"/>
          <w:szCs w:val="18"/>
        </w:rPr>
        <w:t xml:space="preserve"> 1-A </w:t>
      </w:r>
      <w:r w:rsidR="00873AFE" w:rsidRPr="00410281">
        <w:rPr>
          <w:rFonts w:ascii="Soberana Sans" w:hAnsi="Soberana Sans" w:cstheme="minorHAnsi"/>
          <w:sz w:val="18"/>
          <w:szCs w:val="18"/>
        </w:rPr>
        <w:t xml:space="preserve">y 15 </w:t>
      </w:r>
      <w:r w:rsidRPr="00410281">
        <w:rPr>
          <w:rFonts w:ascii="Soberana Sans" w:hAnsi="Soberana Sans" w:cstheme="minorHAnsi"/>
          <w:sz w:val="18"/>
          <w:szCs w:val="18"/>
        </w:rPr>
        <w:t>de la Resolución Miscelánea Fiscal para 2018.</w:t>
      </w:r>
    </w:p>
    <w:p w14:paraId="57E088F3" w14:textId="77777777" w:rsidR="00E37F38" w:rsidRPr="00410281" w:rsidRDefault="00E37F38" w:rsidP="0038141D">
      <w:pPr>
        <w:pStyle w:val="Textoindependiente"/>
        <w:spacing w:after="80" w:line="216" w:lineRule="exact"/>
        <w:ind w:left="1418" w:hanging="1418"/>
        <w:rPr>
          <w:rFonts w:ascii="Soberana Sans" w:hAnsi="Soberana Sans" w:cstheme="minorHAnsi"/>
          <w:sz w:val="18"/>
          <w:szCs w:val="18"/>
        </w:rPr>
      </w:pPr>
    </w:p>
    <w:p w14:paraId="6CA609BF" w14:textId="63753E91" w:rsidR="00256E6E" w:rsidRPr="00410281" w:rsidRDefault="00E37F38" w:rsidP="00E37F38">
      <w:pPr>
        <w:pStyle w:val="Texto"/>
        <w:spacing w:line="219" w:lineRule="exact"/>
        <w:ind w:left="1418" w:hanging="1418"/>
        <w:rPr>
          <w:rFonts w:ascii="Soberana Sans" w:eastAsia="Calibri" w:hAnsi="Soberana Sans"/>
          <w:szCs w:val="18"/>
          <w:lang w:val="es-ES_tradnl"/>
        </w:rPr>
      </w:pPr>
      <w:r w:rsidRPr="00410281">
        <w:rPr>
          <w:rFonts w:ascii="Soberana Sans" w:hAnsi="Soberana Sans"/>
          <w:b/>
          <w:szCs w:val="18"/>
        </w:rPr>
        <w:t>CUARTO.</w:t>
      </w:r>
      <w:r w:rsidR="00256E6E" w:rsidRPr="00410281">
        <w:rPr>
          <w:rFonts w:ascii="Soberana Sans" w:hAnsi="Soberana Sans"/>
          <w:b/>
          <w:szCs w:val="18"/>
        </w:rPr>
        <w:tab/>
      </w:r>
      <w:r w:rsidR="00256E6E" w:rsidRPr="00410281">
        <w:rPr>
          <w:rFonts w:ascii="Soberana Sans" w:eastAsia="Calibri" w:hAnsi="Soberana Sans"/>
          <w:szCs w:val="18"/>
          <w:lang w:val="es-ES_tradnl"/>
        </w:rPr>
        <w:t xml:space="preserve">Se reforma el Artículo </w:t>
      </w:r>
      <w:r w:rsidR="0063310C" w:rsidRPr="00410281">
        <w:rPr>
          <w:rFonts w:ascii="Soberana Sans" w:eastAsia="Calibri" w:hAnsi="Soberana Sans"/>
          <w:szCs w:val="18"/>
          <w:lang w:val="es-ES_tradnl"/>
        </w:rPr>
        <w:t>Cuarto</w:t>
      </w:r>
      <w:r w:rsidRPr="00410281">
        <w:rPr>
          <w:rFonts w:ascii="Soberana Sans" w:eastAsia="Calibri" w:hAnsi="Soberana Sans"/>
          <w:szCs w:val="18"/>
          <w:lang w:val="es-ES_tradnl"/>
        </w:rPr>
        <w:t xml:space="preserve"> Resolutivo </w:t>
      </w:r>
      <w:r w:rsidR="00256E6E" w:rsidRPr="00410281">
        <w:rPr>
          <w:rFonts w:ascii="Soberana Sans" w:eastAsia="Calibri" w:hAnsi="Soberana Sans"/>
          <w:szCs w:val="18"/>
          <w:lang w:val="es-ES_tradnl"/>
        </w:rPr>
        <w:t xml:space="preserve">de la </w:t>
      </w:r>
      <w:r w:rsidR="0063310C" w:rsidRPr="00410281">
        <w:rPr>
          <w:rFonts w:ascii="Soberana Sans" w:eastAsia="Calibri" w:hAnsi="Soberana Sans"/>
          <w:szCs w:val="18"/>
          <w:lang w:val="es-ES_tradnl"/>
        </w:rPr>
        <w:t xml:space="preserve">Primera Resolución de Modificaciones a la </w:t>
      </w:r>
      <w:r w:rsidR="00256E6E" w:rsidRPr="00410281">
        <w:rPr>
          <w:rFonts w:ascii="Soberana Sans" w:eastAsia="Calibri" w:hAnsi="Soberana Sans"/>
          <w:szCs w:val="18"/>
          <w:lang w:val="es-ES_tradnl"/>
        </w:rPr>
        <w:t>RMF par</w:t>
      </w:r>
      <w:r w:rsidR="00241142" w:rsidRPr="00410281">
        <w:rPr>
          <w:rFonts w:ascii="Soberana Sans" w:eastAsia="Calibri" w:hAnsi="Soberana Sans"/>
          <w:szCs w:val="18"/>
          <w:lang w:val="es-ES_tradnl"/>
        </w:rPr>
        <w:t>a 2018 publicada en el DOF el 30</w:t>
      </w:r>
      <w:r w:rsidR="00256E6E" w:rsidRPr="00410281">
        <w:rPr>
          <w:rFonts w:ascii="Soberana Sans" w:eastAsia="Calibri" w:hAnsi="Soberana Sans"/>
          <w:szCs w:val="18"/>
          <w:lang w:val="es-ES_tradnl"/>
        </w:rPr>
        <w:t xml:space="preserve"> de </w:t>
      </w:r>
      <w:r w:rsidR="00241142" w:rsidRPr="00410281">
        <w:rPr>
          <w:rFonts w:ascii="Soberana Sans" w:eastAsia="Calibri" w:hAnsi="Soberana Sans"/>
          <w:szCs w:val="18"/>
          <w:lang w:val="es-ES_tradnl"/>
        </w:rPr>
        <w:t>abril de 2018</w:t>
      </w:r>
      <w:r w:rsidR="00256E6E" w:rsidRPr="00410281">
        <w:rPr>
          <w:rFonts w:ascii="Soberana Sans" w:eastAsia="Calibri" w:hAnsi="Soberana Sans"/>
          <w:szCs w:val="18"/>
          <w:lang w:val="es-ES_tradnl"/>
        </w:rPr>
        <w:t>, para quedar como sigue:</w:t>
      </w:r>
    </w:p>
    <w:p w14:paraId="49DF2B66" w14:textId="51D7A18F" w:rsidR="00241142" w:rsidRPr="00410281" w:rsidRDefault="00256E6E" w:rsidP="00241142">
      <w:pPr>
        <w:pStyle w:val="Texto"/>
        <w:tabs>
          <w:tab w:val="left" w:pos="1843"/>
        </w:tabs>
        <w:spacing w:line="219" w:lineRule="exact"/>
        <w:ind w:left="2410" w:hanging="992"/>
        <w:rPr>
          <w:rFonts w:ascii="Soberana Sans" w:hAnsi="Soberana Sans"/>
          <w:sz w:val="16"/>
          <w:szCs w:val="16"/>
        </w:rPr>
      </w:pPr>
      <w:r w:rsidRPr="00410281">
        <w:rPr>
          <w:rFonts w:ascii="Soberana Sans" w:hAnsi="Soberana Sans"/>
          <w:b/>
          <w:szCs w:val="18"/>
        </w:rPr>
        <w:t>“</w:t>
      </w:r>
      <w:r w:rsidR="00241142" w:rsidRPr="00410281">
        <w:rPr>
          <w:rFonts w:ascii="Soberana Sans" w:hAnsi="Soberana Sans"/>
          <w:b/>
          <w:sz w:val="16"/>
          <w:szCs w:val="16"/>
        </w:rPr>
        <w:t>CUARTO.</w:t>
      </w:r>
      <w:r w:rsidR="00241142" w:rsidRPr="00410281">
        <w:rPr>
          <w:rFonts w:ascii="Soberana Sans" w:hAnsi="Soberana Sans"/>
          <w:b/>
          <w:sz w:val="16"/>
          <w:szCs w:val="16"/>
        </w:rPr>
        <w:tab/>
      </w:r>
      <w:r w:rsidR="00241142" w:rsidRPr="00410281">
        <w:rPr>
          <w:rFonts w:ascii="Soberana Sans" w:hAnsi="Soberana Sans"/>
          <w:sz w:val="16"/>
          <w:szCs w:val="16"/>
        </w:rPr>
        <w:t>La fecha a partir de la cual el contratante realizará la consulta de la información autorizada por el contratista por actividades de subcontratación laboral respecto a los meses de enero a agosto</w:t>
      </w:r>
      <w:r w:rsidR="005F7BD5" w:rsidRPr="00410281">
        <w:rPr>
          <w:rFonts w:ascii="Soberana Sans" w:hAnsi="Soberana Sans"/>
          <w:sz w:val="16"/>
          <w:szCs w:val="16"/>
        </w:rPr>
        <w:t xml:space="preserve"> </w:t>
      </w:r>
      <w:r w:rsidR="00241142" w:rsidRPr="00410281">
        <w:rPr>
          <w:rFonts w:ascii="Soberana Sans" w:hAnsi="Soberana Sans"/>
          <w:sz w:val="16"/>
          <w:szCs w:val="16"/>
        </w:rPr>
        <w:t>de 2018 y sucesivos a que se refiere la regla 3.3.1.50., en relación con el Artículo Segundo</w:t>
      </w:r>
      <w:r w:rsidR="00746EA0" w:rsidRPr="00410281">
        <w:rPr>
          <w:rFonts w:ascii="Soberana Sans" w:hAnsi="Soberana Sans"/>
          <w:sz w:val="16"/>
          <w:szCs w:val="16"/>
        </w:rPr>
        <w:t xml:space="preserve"> Transitorio, fracción I, será </w:t>
      </w:r>
      <w:r w:rsidR="00241142" w:rsidRPr="00410281">
        <w:rPr>
          <w:rFonts w:ascii="Soberana Sans" w:hAnsi="Soberana Sans"/>
          <w:sz w:val="16"/>
          <w:szCs w:val="16"/>
        </w:rPr>
        <w:t>el último día del mes de septiembre de 2018.</w:t>
      </w:r>
    </w:p>
    <w:p w14:paraId="38D0D514" w14:textId="708982F5" w:rsidR="00256E6E" w:rsidRPr="00410281" w:rsidRDefault="00241142" w:rsidP="00241142">
      <w:pPr>
        <w:tabs>
          <w:tab w:val="left" w:pos="1843"/>
        </w:tabs>
        <w:spacing w:after="101" w:line="219" w:lineRule="exact"/>
        <w:ind w:left="2410"/>
        <w:jc w:val="both"/>
        <w:rPr>
          <w:rFonts w:ascii="Soberana Sans" w:hAnsi="Soberana Sans" w:cs="Arial"/>
          <w:sz w:val="18"/>
          <w:szCs w:val="18"/>
        </w:rPr>
      </w:pPr>
      <w:r w:rsidRPr="00410281">
        <w:rPr>
          <w:rFonts w:ascii="Soberana Sans" w:hAnsi="Soberana Sans" w:cs="Arial"/>
          <w:sz w:val="16"/>
          <w:szCs w:val="16"/>
        </w:rPr>
        <w:t>El aviso de cumplimiento de las obligaciones del ejercicio de 2017 a que se refiere el Artículo Tercero Transitorio, segundo párrafo, dado a conocer en el Portal del SAT el 7 de febrero de 2018, podrá presentarse a más tardar el 30 de septiembre de 2018.</w:t>
      </w:r>
      <w:r w:rsidR="00256E6E" w:rsidRPr="00410281">
        <w:rPr>
          <w:rFonts w:ascii="Soberana Sans" w:hAnsi="Soberana Sans" w:cs="Arial"/>
          <w:sz w:val="18"/>
          <w:szCs w:val="18"/>
        </w:rPr>
        <w:t>”</w:t>
      </w:r>
    </w:p>
    <w:p w14:paraId="4C2207E6" w14:textId="77777777" w:rsidR="00256E6E" w:rsidRPr="00410281" w:rsidRDefault="00256E6E" w:rsidP="0038141D">
      <w:pPr>
        <w:pStyle w:val="Textoindependiente"/>
        <w:spacing w:after="80" w:line="216" w:lineRule="exact"/>
        <w:ind w:left="1418" w:hanging="1418"/>
        <w:rPr>
          <w:rFonts w:ascii="Soberana Sans" w:hAnsi="Soberana Sans" w:cstheme="minorHAnsi"/>
          <w:sz w:val="18"/>
          <w:szCs w:val="18"/>
        </w:rPr>
      </w:pPr>
    </w:p>
    <w:p w14:paraId="68950251" w14:textId="77777777" w:rsidR="0038141D" w:rsidRPr="00410281" w:rsidRDefault="0038141D" w:rsidP="0038141D">
      <w:pPr>
        <w:pStyle w:val="Textoindependiente"/>
        <w:spacing w:after="80" w:line="216" w:lineRule="exact"/>
        <w:ind w:left="1418" w:hanging="1418"/>
        <w:rPr>
          <w:rFonts w:ascii="Soberana Sans" w:hAnsi="Soberana Sans" w:cstheme="minorHAnsi"/>
          <w:sz w:val="18"/>
          <w:szCs w:val="18"/>
        </w:rPr>
      </w:pPr>
    </w:p>
    <w:p w14:paraId="24AF117D" w14:textId="77777777" w:rsidR="00C6163F" w:rsidRPr="00410281" w:rsidRDefault="00C6163F" w:rsidP="00C44271">
      <w:pPr>
        <w:pStyle w:val="Texto"/>
        <w:spacing w:after="80" w:line="219" w:lineRule="exact"/>
        <w:ind w:firstLine="0"/>
        <w:jc w:val="center"/>
        <w:rPr>
          <w:rFonts w:ascii="Soberana Sans" w:hAnsi="Soberana Sans"/>
          <w:b/>
          <w:szCs w:val="18"/>
        </w:rPr>
      </w:pPr>
      <w:r w:rsidRPr="00410281">
        <w:rPr>
          <w:rFonts w:ascii="Soberana Sans" w:hAnsi="Soberana Sans"/>
          <w:b/>
          <w:szCs w:val="18"/>
        </w:rPr>
        <w:t>Transitorios</w:t>
      </w:r>
    </w:p>
    <w:p w14:paraId="6B3EBA28" w14:textId="77777777" w:rsidR="00C6163F" w:rsidRPr="00410281" w:rsidRDefault="00C6163F" w:rsidP="00C44271">
      <w:pPr>
        <w:spacing w:after="80" w:line="219" w:lineRule="exact"/>
        <w:ind w:left="1418" w:hanging="1418"/>
        <w:jc w:val="both"/>
        <w:rPr>
          <w:rFonts w:ascii="Soberana Sans" w:hAnsi="Soberana Sans" w:cs="Arial"/>
          <w:sz w:val="18"/>
          <w:szCs w:val="18"/>
        </w:rPr>
      </w:pPr>
    </w:p>
    <w:p w14:paraId="607870E3" w14:textId="54FC01AA" w:rsidR="002708C7" w:rsidRPr="00410281" w:rsidRDefault="00DB3187" w:rsidP="00C44271">
      <w:pPr>
        <w:spacing w:after="80" w:line="219" w:lineRule="exact"/>
        <w:ind w:left="1418" w:hanging="1418"/>
        <w:rPr>
          <w:rFonts w:ascii="Soberana Sans" w:hAnsi="Soberana Sans"/>
          <w:sz w:val="18"/>
          <w:szCs w:val="18"/>
        </w:rPr>
      </w:pPr>
      <w:r w:rsidRPr="00410281">
        <w:rPr>
          <w:rFonts w:ascii="Soberana Sans" w:hAnsi="Soberana Sans"/>
          <w:b/>
          <w:sz w:val="18"/>
          <w:szCs w:val="18"/>
        </w:rPr>
        <w:t>Primero.</w:t>
      </w:r>
      <w:r w:rsidRPr="00410281">
        <w:rPr>
          <w:rFonts w:ascii="Soberana Sans" w:hAnsi="Soberana Sans"/>
          <w:b/>
          <w:sz w:val="18"/>
          <w:szCs w:val="18"/>
        </w:rPr>
        <w:tab/>
      </w:r>
      <w:r w:rsidRPr="00410281">
        <w:rPr>
          <w:rFonts w:ascii="Soberana Sans" w:hAnsi="Soberana Sans"/>
          <w:sz w:val="18"/>
          <w:szCs w:val="18"/>
        </w:rPr>
        <w:t>La presente Resolución entrará en vigor el día siguiente</w:t>
      </w:r>
      <w:r w:rsidR="002708C7" w:rsidRPr="00410281">
        <w:rPr>
          <w:rFonts w:ascii="Soberana Sans" w:hAnsi="Soberana Sans"/>
          <w:sz w:val="18"/>
          <w:szCs w:val="18"/>
        </w:rPr>
        <w:t xml:space="preserve"> al de su publicación en el DOF</w:t>
      </w:r>
      <w:r w:rsidR="005E49F2" w:rsidRPr="00410281">
        <w:rPr>
          <w:rFonts w:ascii="Soberana Sans" w:hAnsi="Soberana Sans"/>
          <w:sz w:val="18"/>
          <w:szCs w:val="18"/>
        </w:rPr>
        <w:t>.</w:t>
      </w:r>
    </w:p>
    <w:p w14:paraId="62D8BB29" w14:textId="77777777" w:rsidR="0038141D" w:rsidRPr="00410281" w:rsidRDefault="0038141D" w:rsidP="00C44271">
      <w:pPr>
        <w:spacing w:after="80" w:line="219" w:lineRule="exact"/>
        <w:ind w:left="1418" w:hanging="1418"/>
        <w:rPr>
          <w:rFonts w:ascii="Soberana Sans" w:hAnsi="Soberana Sans"/>
          <w:sz w:val="18"/>
          <w:szCs w:val="18"/>
        </w:rPr>
      </w:pPr>
    </w:p>
    <w:p w14:paraId="078FA516" w14:textId="77777777" w:rsidR="002E02AB" w:rsidRPr="00410281" w:rsidRDefault="002E02AB" w:rsidP="00C44271">
      <w:pPr>
        <w:pStyle w:val="k"/>
        <w:tabs>
          <w:tab w:val="left" w:pos="1418"/>
        </w:tabs>
        <w:spacing w:after="80" w:line="219" w:lineRule="exact"/>
        <w:ind w:left="1418" w:hanging="1418"/>
        <w:rPr>
          <w:rFonts w:ascii="Soberana Sans" w:hAnsi="Soberana Sans"/>
          <w:szCs w:val="18"/>
        </w:rPr>
      </w:pPr>
    </w:p>
    <w:p w14:paraId="4A376EC6" w14:textId="77777777" w:rsidR="00565072" w:rsidRPr="00410281" w:rsidRDefault="00565072" w:rsidP="00C44271">
      <w:pPr>
        <w:spacing w:after="80" w:line="219" w:lineRule="exact"/>
        <w:ind w:left="420" w:firstLine="4536"/>
        <w:rPr>
          <w:rFonts w:ascii="Soberana Sans" w:hAnsi="Soberana Sans" w:cs="Arial"/>
          <w:sz w:val="18"/>
          <w:szCs w:val="18"/>
        </w:rPr>
      </w:pPr>
    </w:p>
    <w:p w14:paraId="4BA18A74" w14:textId="77777777" w:rsidR="00330D59" w:rsidRPr="00410281" w:rsidRDefault="00330D59" w:rsidP="005A4D64">
      <w:pPr>
        <w:spacing w:after="80" w:line="219" w:lineRule="exact"/>
        <w:ind w:left="420" w:firstLine="4116"/>
        <w:rPr>
          <w:rFonts w:ascii="Soberana Sans" w:hAnsi="Soberana Sans" w:cs="Arial"/>
          <w:sz w:val="18"/>
          <w:szCs w:val="18"/>
        </w:rPr>
      </w:pPr>
      <w:r w:rsidRPr="00410281">
        <w:rPr>
          <w:rFonts w:ascii="Soberana Sans" w:hAnsi="Soberana Sans" w:cs="Arial"/>
          <w:sz w:val="18"/>
          <w:szCs w:val="18"/>
        </w:rPr>
        <w:t>Atentamente</w:t>
      </w:r>
    </w:p>
    <w:p w14:paraId="0F496CE5" w14:textId="77777777" w:rsidR="00330D59" w:rsidRPr="00410281" w:rsidRDefault="00330D59" w:rsidP="00C44271">
      <w:pPr>
        <w:spacing w:after="80" w:line="219" w:lineRule="exact"/>
        <w:ind w:left="4500" w:firstLine="284"/>
        <w:rPr>
          <w:rFonts w:ascii="Soberana Sans" w:hAnsi="Soberana Sans" w:cs="Arial"/>
          <w:sz w:val="18"/>
          <w:szCs w:val="18"/>
        </w:rPr>
      </w:pPr>
    </w:p>
    <w:p w14:paraId="0EE33E1F" w14:textId="77777777" w:rsidR="00330D59" w:rsidRPr="00410281" w:rsidRDefault="00330D59" w:rsidP="00C44271">
      <w:pPr>
        <w:spacing w:after="80" w:line="219" w:lineRule="exact"/>
        <w:ind w:firstLine="4536"/>
        <w:rPr>
          <w:rFonts w:ascii="Soberana Sans" w:hAnsi="Soberana Sans" w:cs="Arial"/>
          <w:sz w:val="18"/>
          <w:szCs w:val="18"/>
        </w:rPr>
      </w:pPr>
      <w:r w:rsidRPr="00410281">
        <w:rPr>
          <w:rFonts w:ascii="Soberana Sans" w:hAnsi="Soberana Sans" w:cs="Arial"/>
          <w:sz w:val="18"/>
          <w:szCs w:val="18"/>
        </w:rPr>
        <w:t>Ciudad de</w:t>
      </w:r>
      <w:r w:rsidR="00B8296B" w:rsidRPr="00410281">
        <w:rPr>
          <w:rFonts w:ascii="Soberana Sans" w:hAnsi="Soberana Sans" w:cs="Arial"/>
          <w:sz w:val="18"/>
          <w:szCs w:val="18"/>
        </w:rPr>
        <w:t xml:space="preserve"> México, ………………………………….. de 2018</w:t>
      </w:r>
    </w:p>
    <w:p w14:paraId="3ED2F631" w14:textId="77777777" w:rsidR="00330D59" w:rsidRPr="00410281"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410281" w:rsidRDefault="00330D59" w:rsidP="00C44271">
      <w:pPr>
        <w:tabs>
          <w:tab w:val="left" w:pos="8931"/>
        </w:tabs>
        <w:spacing w:after="80" w:line="219" w:lineRule="exact"/>
        <w:ind w:firstLine="4536"/>
        <w:rPr>
          <w:rFonts w:ascii="Soberana Sans" w:hAnsi="Soberana Sans" w:cs="Arial"/>
          <w:sz w:val="18"/>
          <w:szCs w:val="18"/>
        </w:rPr>
      </w:pPr>
      <w:r w:rsidRPr="00410281">
        <w:rPr>
          <w:rFonts w:ascii="Soberana Sans" w:hAnsi="Soberana Sans" w:cs="Arial"/>
          <w:sz w:val="18"/>
          <w:szCs w:val="18"/>
        </w:rPr>
        <w:t>El Jefe del Servicio de Administración Tributaria</w:t>
      </w:r>
    </w:p>
    <w:p w14:paraId="0BF1700D" w14:textId="77777777" w:rsidR="00330D59" w:rsidRPr="00410281" w:rsidRDefault="00330D59" w:rsidP="00C44271">
      <w:pPr>
        <w:spacing w:after="80" w:line="219" w:lineRule="exact"/>
        <w:ind w:left="4536"/>
        <w:rPr>
          <w:rFonts w:ascii="Soberana Sans" w:hAnsi="Soberana Sans"/>
          <w:sz w:val="18"/>
          <w:szCs w:val="18"/>
        </w:rPr>
      </w:pPr>
    </w:p>
    <w:p w14:paraId="48644CC2" w14:textId="77777777" w:rsidR="00330D59" w:rsidRPr="00410281" w:rsidRDefault="00330D59" w:rsidP="00C44271">
      <w:pPr>
        <w:spacing w:after="80" w:line="219" w:lineRule="exact"/>
        <w:ind w:left="4536"/>
        <w:rPr>
          <w:rFonts w:ascii="Soberana Sans" w:hAnsi="Soberana Sans"/>
          <w:sz w:val="18"/>
          <w:szCs w:val="18"/>
        </w:rPr>
      </w:pPr>
    </w:p>
    <w:p w14:paraId="4AE1847E" w14:textId="77777777" w:rsidR="00330D59" w:rsidRPr="00410281" w:rsidRDefault="00330D59" w:rsidP="00C44271">
      <w:pPr>
        <w:spacing w:after="80" w:line="219" w:lineRule="exact"/>
        <w:ind w:left="4536"/>
        <w:rPr>
          <w:rFonts w:ascii="Soberana Sans" w:hAnsi="Soberana Sans"/>
          <w:sz w:val="18"/>
          <w:szCs w:val="18"/>
        </w:rPr>
      </w:pPr>
    </w:p>
    <w:p w14:paraId="48A4C3B1" w14:textId="77777777" w:rsidR="00330D59" w:rsidRPr="00410281" w:rsidRDefault="00330D59" w:rsidP="00C44271">
      <w:pPr>
        <w:spacing w:after="80" w:line="219" w:lineRule="exact"/>
        <w:ind w:left="4536"/>
        <w:rPr>
          <w:rFonts w:ascii="Soberana Sans" w:hAnsi="Soberana Sans"/>
          <w:sz w:val="18"/>
          <w:szCs w:val="18"/>
        </w:rPr>
      </w:pPr>
    </w:p>
    <w:p w14:paraId="73F4490B" w14:textId="77777777" w:rsidR="00BA1CC0" w:rsidRPr="00410281" w:rsidRDefault="00330D59" w:rsidP="00C44271">
      <w:pPr>
        <w:spacing w:after="80" w:line="219" w:lineRule="exact"/>
        <w:ind w:firstLine="4536"/>
        <w:rPr>
          <w:rFonts w:ascii="Soberana Sans" w:hAnsi="Soberana Sans" w:cs="Arial"/>
          <w:sz w:val="18"/>
          <w:szCs w:val="18"/>
        </w:rPr>
      </w:pPr>
      <w:r w:rsidRPr="00410281">
        <w:rPr>
          <w:rFonts w:ascii="Soberana Sans" w:hAnsi="Soberana Sans"/>
          <w:sz w:val="18"/>
          <w:szCs w:val="18"/>
        </w:rPr>
        <w:t>Osvaldo Antonio Santín Quiroz</w:t>
      </w:r>
    </w:p>
    <w:sectPr w:rsidR="00BA1CC0" w:rsidRPr="00410281"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8DB6" w14:textId="77777777" w:rsidR="00570760" w:rsidRDefault="00570760" w:rsidP="00003F86">
      <w:r>
        <w:separator/>
      </w:r>
    </w:p>
    <w:p w14:paraId="774E4C24" w14:textId="77777777" w:rsidR="00570760" w:rsidRDefault="00570760"/>
  </w:endnote>
  <w:endnote w:type="continuationSeparator" w:id="0">
    <w:p w14:paraId="58C78B02" w14:textId="77777777" w:rsidR="00570760" w:rsidRDefault="00570760" w:rsidP="00003F86">
      <w:r>
        <w:continuationSeparator/>
      </w:r>
    </w:p>
    <w:p w14:paraId="7A2CAD94" w14:textId="77777777" w:rsidR="00570760" w:rsidRDefault="00570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2CC6B2A5" w:rsidR="0001543C" w:rsidRPr="00891151" w:rsidRDefault="00570760">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570760">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18B9" w14:textId="77777777" w:rsidR="00570760" w:rsidRDefault="00570760" w:rsidP="00003F86">
      <w:r>
        <w:separator/>
      </w:r>
    </w:p>
    <w:p w14:paraId="7A72285A" w14:textId="77777777" w:rsidR="00570760" w:rsidRDefault="00570760"/>
  </w:footnote>
  <w:footnote w:type="continuationSeparator" w:id="0">
    <w:p w14:paraId="2393D1FF" w14:textId="77777777" w:rsidR="00570760" w:rsidRDefault="00570760" w:rsidP="00003F86">
      <w:r>
        <w:continuationSeparator/>
      </w:r>
    </w:p>
    <w:p w14:paraId="78EBE4D2" w14:textId="77777777" w:rsidR="00570760" w:rsidRDefault="005707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2"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6"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5"/>
  </w:num>
  <w:num w:numId="3">
    <w:abstractNumId w:val="11"/>
  </w:num>
  <w:num w:numId="4">
    <w:abstractNumId w:val="6"/>
  </w:num>
  <w:num w:numId="5">
    <w:abstractNumId w:val="16"/>
  </w:num>
  <w:num w:numId="6">
    <w:abstractNumId w:val="8"/>
  </w:num>
  <w:num w:numId="7">
    <w:abstractNumId w:val="3"/>
  </w:num>
  <w:num w:numId="8">
    <w:abstractNumId w:val="9"/>
  </w:num>
  <w:num w:numId="9">
    <w:abstractNumId w:val="10"/>
  </w:num>
  <w:num w:numId="10">
    <w:abstractNumId w:val="14"/>
  </w:num>
  <w:num w:numId="11">
    <w:abstractNumId w:val="7"/>
  </w:num>
  <w:num w:numId="12">
    <w:abstractNumId w:val="2"/>
  </w:num>
  <w:num w:numId="13">
    <w:abstractNumId w:val="4"/>
  </w:num>
  <w:num w:numId="14">
    <w:abstractNumId w:val="13"/>
  </w:num>
  <w:num w:numId="15">
    <w:abstractNumId w:val="12"/>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7020"/>
    <w:rsid w:val="00020223"/>
    <w:rsid w:val="0002424F"/>
    <w:rsid w:val="000275C7"/>
    <w:rsid w:val="0002791E"/>
    <w:rsid w:val="00037CE7"/>
    <w:rsid w:val="00042314"/>
    <w:rsid w:val="00043DE6"/>
    <w:rsid w:val="00051A80"/>
    <w:rsid w:val="00056602"/>
    <w:rsid w:val="00056E7D"/>
    <w:rsid w:val="00066C06"/>
    <w:rsid w:val="0007066E"/>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5B60"/>
    <w:rsid w:val="000D6016"/>
    <w:rsid w:val="000D7E59"/>
    <w:rsid w:val="000E0DC8"/>
    <w:rsid w:val="000E6FAB"/>
    <w:rsid w:val="000E7A66"/>
    <w:rsid w:val="000F4F1F"/>
    <w:rsid w:val="00100DCD"/>
    <w:rsid w:val="00101ACA"/>
    <w:rsid w:val="00101CAD"/>
    <w:rsid w:val="00102050"/>
    <w:rsid w:val="00114C2F"/>
    <w:rsid w:val="001170CC"/>
    <w:rsid w:val="001215D4"/>
    <w:rsid w:val="00121732"/>
    <w:rsid w:val="00124437"/>
    <w:rsid w:val="00127751"/>
    <w:rsid w:val="00130479"/>
    <w:rsid w:val="00133BD7"/>
    <w:rsid w:val="00140475"/>
    <w:rsid w:val="00140555"/>
    <w:rsid w:val="00140BAE"/>
    <w:rsid w:val="0014369A"/>
    <w:rsid w:val="00144813"/>
    <w:rsid w:val="001526EF"/>
    <w:rsid w:val="00154C55"/>
    <w:rsid w:val="00160579"/>
    <w:rsid w:val="001630FC"/>
    <w:rsid w:val="001649DF"/>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E246C"/>
    <w:rsid w:val="001E337B"/>
    <w:rsid w:val="001E3773"/>
    <w:rsid w:val="001E6639"/>
    <w:rsid w:val="001E7B06"/>
    <w:rsid w:val="001F3B49"/>
    <w:rsid w:val="00202A33"/>
    <w:rsid w:val="00211E9A"/>
    <w:rsid w:val="002132BD"/>
    <w:rsid w:val="00216AAC"/>
    <w:rsid w:val="00216E0A"/>
    <w:rsid w:val="00217262"/>
    <w:rsid w:val="002173BF"/>
    <w:rsid w:val="00221FE4"/>
    <w:rsid w:val="00224BE4"/>
    <w:rsid w:val="002266A1"/>
    <w:rsid w:val="00231837"/>
    <w:rsid w:val="00232191"/>
    <w:rsid w:val="00236486"/>
    <w:rsid w:val="00236BE5"/>
    <w:rsid w:val="00241142"/>
    <w:rsid w:val="00241348"/>
    <w:rsid w:val="0024453B"/>
    <w:rsid w:val="00245C55"/>
    <w:rsid w:val="0025176F"/>
    <w:rsid w:val="0025303C"/>
    <w:rsid w:val="00256E6E"/>
    <w:rsid w:val="00257FA7"/>
    <w:rsid w:val="002601A6"/>
    <w:rsid w:val="002605BB"/>
    <w:rsid w:val="00260D53"/>
    <w:rsid w:val="002708C7"/>
    <w:rsid w:val="00275312"/>
    <w:rsid w:val="00277037"/>
    <w:rsid w:val="002804BD"/>
    <w:rsid w:val="00280A98"/>
    <w:rsid w:val="00280F98"/>
    <w:rsid w:val="00283FB4"/>
    <w:rsid w:val="002842E5"/>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6CD2"/>
    <w:rsid w:val="002B7DC9"/>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57DF6"/>
    <w:rsid w:val="00360899"/>
    <w:rsid w:val="00362FFF"/>
    <w:rsid w:val="003645EB"/>
    <w:rsid w:val="00366054"/>
    <w:rsid w:val="003676BE"/>
    <w:rsid w:val="00373633"/>
    <w:rsid w:val="003750F1"/>
    <w:rsid w:val="0038141D"/>
    <w:rsid w:val="0038281A"/>
    <w:rsid w:val="0038669D"/>
    <w:rsid w:val="0039654C"/>
    <w:rsid w:val="00397105"/>
    <w:rsid w:val="00397522"/>
    <w:rsid w:val="003A2BC2"/>
    <w:rsid w:val="003A5703"/>
    <w:rsid w:val="003B0EFC"/>
    <w:rsid w:val="003B44C3"/>
    <w:rsid w:val="003B5FD4"/>
    <w:rsid w:val="003B6EAF"/>
    <w:rsid w:val="003B7A9E"/>
    <w:rsid w:val="003C27EE"/>
    <w:rsid w:val="003C2849"/>
    <w:rsid w:val="003C2D7C"/>
    <w:rsid w:val="003C3422"/>
    <w:rsid w:val="003C53C0"/>
    <w:rsid w:val="003D03C6"/>
    <w:rsid w:val="003D2325"/>
    <w:rsid w:val="003D61FC"/>
    <w:rsid w:val="003D6899"/>
    <w:rsid w:val="003D6A22"/>
    <w:rsid w:val="003E0B4F"/>
    <w:rsid w:val="003E22BC"/>
    <w:rsid w:val="003E2E80"/>
    <w:rsid w:val="003E61B8"/>
    <w:rsid w:val="003F42DF"/>
    <w:rsid w:val="003F653B"/>
    <w:rsid w:val="003F75E7"/>
    <w:rsid w:val="00410281"/>
    <w:rsid w:val="004133C4"/>
    <w:rsid w:val="00415F91"/>
    <w:rsid w:val="004177CD"/>
    <w:rsid w:val="004209EB"/>
    <w:rsid w:val="00423904"/>
    <w:rsid w:val="00424827"/>
    <w:rsid w:val="0042549F"/>
    <w:rsid w:val="00425659"/>
    <w:rsid w:val="004271D1"/>
    <w:rsid w:val="00427F95"/>
    <w:rsid w:val="00430307"/>
    <w:rsid w:val="0043075F"/>
    <w:rsid w:val="00433D37"/>
    <w:rsid w:val="004402E2"/>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E60A7"/>
    <w:rsid w:val="004E6AA7"/>
    <w:rsid w:val="004F298A"/>
    <w:rsid w:val="004F5CCC"/>
    <w:rsid w:val="004F6347"/>
    <w:rsid w:val="00501BFB"/>
    <w:rsid w:val="00502407"/>
    <w:rsid w:val="00502B5A"/>
    <w:rsid w:val="00503D2C"/>
    <w:rsid w:val="00507B3A"/>
    <w:rsid w:val="0051128E"/>
    <w:rsid w:val="00515D6D"/>
    <w:rsid w:val="005214DF"/>
    <w:rsid w:val="00521944"/>
    <w:rsid w:val="005225A9"/>
    <w:rsid w:val="00531A29"/>
    <w:rsid w:val="00533203"/>
    <w:rsid w:val="0054061F"/>
    <w:rsid w:val="00540F5C"/>
    <w:rsid w:val="00542C4E"/>
    <w:rsid w:val="00542F81"/>
    <w:rsid w:val="00552A58"/>
    <w:rsid w:val="00562590"/>
    <w:rsid w:val="00562DF8"/>
    <w:rsid w:val="00562E4B"/>
    <w:rsid w:val="00565072"/>
    <w:rsid w:val="00565423"/>
    <w:rsid w:val="00565D95"/>
    <w:rsid w:val="00566EE4"/>
    <w:rsid w:val="00570760"/>
    <w:rsid w:val="0057114F"/>
    <w:rsid w:val="00572F28"/>
    <w:rsid w:val="005763D9"/>
    <w:rsid w:val="00577F79"/>
    <w:rsid w:val="00585748"/>
    <w:rsid w:val="0058722F"/>
    <w:rsid w:val="005933C6"/>
    <w:rsid w:val="005954AB"/>
    <w:rsid w:val="005A0CC3"/>
    <w:rsid w:val="005A2EB0"/>
    <w:rsid w:val="005A4D64"/>
    <w:rsid w:val="005A58E1"/>
    <w:rsid w:val="005B4124"/>
    <w:rsid w:val="005C362B"/>
    <w:rsid w:val="005D432A"/>
    <w:rsid w:val="005D43ED"/>
    <w:rsid w:val="005E19CB"/>
    <w:rsid w:val="005E49F2"/>
    <w:rsid w:val="005E6E6D"/>
    <w:rsid w:val="005E7FCD"/>
    <w:rsid w:val="005F1657"/>
    <w:rsid w:val="005F2C45"/>
    <w:rsid w:val="005F7BD5"/>
    <w:rsid w:val="00604FB5"/>
    <w:rsid w:val="00611644"/>
    <w:rsid w:val="00614595"/>
    <w:rsid w:val="006149E9"/>
    <w:rsid w:val="00620F36"/>
    <w:rsid w:val="00624225"/>
    <w:rsid w:val="00630D5D"/>
    <w:rsid w:val="006316B9"/>
    <w:rsid w:val="00631A30"/>
    <w:rsid w:val="00631BD5"/>
    <w:rsid w:val="00632DF8"/>
    <w:rsid w:val="0063310C"/>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24CF"/>
    <w:rsid w:val="006660D7"/>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06A"/>
    <w:rsid w:val="00712DB1"/>
    <w:rsid w:val="00716467"/>
    <w:rsid w:val="00716BF4"/>
    <w:rsid w:val="007236B3"/>
    <w:rsid w:val="0072593A"/>
    <w:rsid w:val="00730C20"/>
    <w:rsid w:val="00735D75"/>
    <w:rsid w:val="007428BB"/>
    <w:rsid w:val="00746EA0"/>
    <w:rsid w:val="007470FB"/>
    <w:rsid w:val="00747436"/>
    <w:rsid w:val="00747821"/>
    <w:rsid w:val="0075004C"/>
    <w:rsid w:val="00756309"/>
    <w:rsid w:val="00761CA0"/>
    <w:rsid w:val="00761E53"/>
    <w:rsid w:val="007665DF"/>
    <w:rsid w:val="00777E7C"/>
    <w:rsid w:val="0078010D"/>
    <w:rsid w:val="00783CBE"/>
    <w:rsid w:val="00785C24"/>
    <w:rsid w:val="0078779D"/>
    <w:rsid w:val="00792E5A"/>
    <w:rsid w:val="0079491D"/>
    <w:rsid w:val="007A06CB"/>
    <w:rsid w:val="007A086B"/>
    <w:rsid w:val="007A20FD"/>
    <w:rsid w:val="007A2CEA"/>
    <w:rsid w:val="007A727D"/>
    <w:rsid w:val="007B5F60"/>
    <w:rsid w:val="007D1A8A"/>
    <w:rsid w:val="007D280E"/>
    <w:rsid w:val="007D2942"/>
    <w:rsid w:val="007E1DF1"/>
    <w:rsid w:val="007E4C85"/>
    <w:rsid w:val="007E6D2A"/>
    <w:rsid w:val="007E7C01"/>
    <w:rsid w:val="00800A53"/>
    <w:rsid w:val="008108C0"/>
    <w:rsid w:val="008146F8"/>
    <w:rsid w:val="00814DCA"/>
    <w:rsid w:val="008172ED"/>
    <w:rsid w:val="00822607"/>
    <w:rsid w:val="00822A16"/>
    <w:rsid w:val="008263A9"/>
    <w:rsid w:val="008271ED"/>
    <w:rsid w:val="00833EEE"/>
    <w:rsid w:val="008425CE"/>
    <w:rsid w:val="0084399C"/>
    <w:rsid w:val="00846C85"/>
    <w:rsid w:val="008470DF"/>
    <w:rsid w:val="00847686"/>
    <w:rsid w:val="00854FDF"/>
    <w:rsid w:val="00855205"/>
    <w:rsid w:val="00856838"/>
    <w:rsid w:val="00857C0D"/>
    <w:rsid w:val="00867C31"/>
    <w:rsid w:val="008724BC"/>
    <w:rsid w:val="00873113"/>
    <w:rsid w:val="00873AFE"/>
    <w:rsid w:val="00875027"/>
    <w:rsid w:val="00876B26"/>
    <w:rsid w:val="008778BA"/>
    <w:rsid w:val="0088331F"/>
    <w:rsid w:val="00883DA8"/>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525F"/>
    <w:rsid w:val="008E760A"/>
    <w:rsid w:val="00900E7C"/>
    <w:rsid w:val="00901DAF"/>
    <w:rsid w:val="0090350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1FE8"/>
    <w:rsid w:val="009539E4"/>
    <w:rsid w:val="00954B03"/>
    <w:rsid w:val="009625C4"/>
    <w:rsid w:val="00967E55"/>
    <w:rsid w:val="00971AB7"/>
    <w:rsid w:val="00972754"/>
    <w:rsid w:val="00974522"/>
    <w:rsid w:val="00975605"/>
    <w:rsid w:val="00975A28"/>
    <w:rsid w:val="009840E6"/>
    <w:rsid w:val="00984595"/>
    <w:rsid w:val="0099077E"/>
    <w:rsid w:val="009926FE"/>
    <w:rsid w:val="00993545"/>
    <w:rsid w:val="009A139E"/>
    <w:rsid w:val="009A7CBC"/>
    <w:rsid w:val="009B22EF"/>
    <w:rsid w:val="009B2F3A"/>
    <w:rsid w:val="009B3BD1"/>
    <w:rsid w:val="009B3E0E"/>
    <w:rsid w:val="009C2EAF"/>
    <w:rsid w:val="009C45C6"/>
    <w:rsid w:val="009D296D"/>
    <w:rsid w:val="009D4933"/>
    <w:rsid w:val="009D65CE"/>
    <w:rsid w:val="009E2583"/>
    <w:rsid w:val="009E2D69"/>
    <w:rsid w:val="009E7CCA"/>
    <w:rsid w:val="009F0F8F"/>
    <w:rsid w:val="009F4123"/>
    <w:rsid w:val="009F45A9"/>
    <w:rsid w:val="009F5D6F"/>
    <w:rsid w:val="009F6958"/>
    <w:rsid w:val="00A016A8"/>
    <w:rsid w:val="00A03D1B"/>
    <w:rsid w:val="00A1383D"/>
    <w:rsid w:val="00A15BD6"/>
    <w:rsid w:val="00A22985"/>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553D"/>
    <w:rsid w:val="00A76D38"/>
    <w:rsid w:val="00A77E69"/>
    <w:rsid w:val="00A85D14"/>
    <w:rsid w:val="00A90BC1"/>
    <w:rsid w:val="00A911E9"/>
    <w:rsid w:val="00A9242D"/>
    <w:rsid w:val="00A93DA0"/>
    <w:rsid w:val="00A94EC2"/>
    <w:rsid w:val="00A96FBE"/>
    <w:rsid w:val="00A97F10"/>
    <w:rsid w:val="00AA0E2C"/>
    <w:rsid w:val="00AA7662"/>
    <w:rsid w:val="00AA76F5"/>
    <w:rsid w:val="00AB314D"/>
    <w:rsid w:val="00AB6156"/>
    <w:rsid w:val="00AD010E"/>
    <w:rsid w:val="00AD147C"/>
    <w:rsid w:val="00AD191D"/>
    <w:rsid w:val="00AD3346"/>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6518"/>
    <w:rsid w:val="00B60087"/>
    <w:rsid w:val="00B63113"/>
    <w:rsid w:val="00B634BF"/>
    <w:rsid w:val="00B63CA0"/>
    <w:rsid w:val="00B6508A"/>
    <w:rsid w:val="00B67431"/>
    <w:rsid w:val="00B72EBA"/>
    <w:rsid w:val="00B72F0B"/>
    <w:rsid w:val="00B73CF7"/>
    <w:rsid w:val="00B745B1"/>
    <w:rsid w:val="00B749F2"/>
    <w:rsid w:val="00B762CA"/>
    <w:rsid w:val="00B76C1E"/>
    <w:rsid w:val="00B803E9"/>
    <w:rsid w:val="00B8296B"/>
    <w:rsid w:val="00B86786"/>
    <w:rsid w:val="00BA1626"/>
    <w:rsid w:val="00BA1CC0"/>
    <w:rsid w:val="00BA2552"/>
    <w:rsid w:val="00BA502A"/>
    <w:rsid w:val="00BA74B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0DD5"/>
    <w:rsid w:val="00BE43CF"/>
    <w:rsid w:val="00BE7580"/>
    <w:rsid w:val="00BE7903"/>
    <w:rsid w:val="00BE7A9E"/>
    <w:rsid w:val="00BF07CD"/>
    <w:rsid w:val="00BF1A98"/>
    <w:rsid w:val="00BF3287"/>
    <w:rsid w:val="00BF3852"/>
    <w:rsid w:val="00BF61BF"/>
    <w:rsid w:val="00C00BDB"/>
    <w:rsid w:val="00C076F6"/>
    <w:rsid w:val="00C07FE7"/>
    <w:rsid w:val="00C168A3"/>
    <w:rsid w:val="00C21BA4"/>
    <w:rsid w:val="00C23F99"/>
    <w:rsid w:val="00C27E91"/>
    <w:rsid w:val="00C31F40"/>
    <w:rsid w:val="00C32282"/>
    <w:rsid w:val="00C33081"/>
    <w:rsid w:val="00C33960"/>
    <w:rsid w:val="00C44271"/>
    <w:rsid w:val="00C51EC1"/>
    <w:rsid w:val="00C5626C"/>
    <w:rsid w:val="00C5725C"/>
    <w:rsid w:val="00C578F5"/>
    <w:rsid w:val="00C6056D"/>
    <w:rsid w:val="00C6163F"/>
    <w:rsid w:val="00C62105"/>
    <w:rsid w:val="00C62EA4"/>
    <w:rsid w:val="00C631BA"/>
    <w:rsid w:val="00C63D17"/>
    <w:rsid w:val="00C70439"/>
    <w:rsid w:val="00C71369"/>
    <w:rsid w:val="00C721B4"/>
    <w:rsid w:val="00C726C6"/>
    <w:rsid w:val="00C7499F"/>
    <w:rsid w:val="00C74BA5"/>
    <w:rsid w:val="00C87331"/>
    <w:rsid w:val="00C91551"/>
    <w:rsid w:val="00C91BFA"/>
    <w:rsid w:val="00C93D32"/>
    <w:rsid w:val="00C94401"/>
    <w:rsid w:val="00C96EE0"/>
    <w:rsid w:val="00CA1C54"/>
    <w:rsid w:val="00CA564D"/>
    <w:rsid w:val="00CB2E0B"/>
    <w:rsid w:val="00CB4F67"/>
    <w:rsid w:val="00CB5984"/>
    <w:rsid w:val="00CC0802"/>
    <w:rsid w:val="00CC2386"/>
    <w:rsid w:val="00CD10B1"/>
    <w:rsid w:val="00CD3F92"/>
    <w:rsid w:val="00CD56EC"/>
    <w:rsid w:val="00CE1F3F"/>
    <w:rsid w:val="00CE31B6"/>
    <w:rsid w:val="00CE7DEC"/>
    <w:rsid w:val="00CF0AD8"/>
    <w:rsid w:val="00CF26BF"/>
    <w:rsid w:val="00CF3C4C"/>
    <w:rsid w:val="00CF58B2"/>
    <w:rsid w:val="00D025A5"/>
    <w:rsid w:val="00D0449E"/>
    <w:rsid w:val="00D06189"/>
    <w:rsid w:val="00D06615"/>
    <w:rsid w:val="00D06693"/>
    <w:rsid w:val="00D109A0"/>
    <w:rsid w:val="00D11646"/>
    <w:rsid w:val="00D116BD"/>
    <w:rsid w:val="00D1605D"/>
    <w:rsid w:val="00D2297B"/>
    <w:rsid w:val="00D22D47"/>
    <w:rsid w:val="00D248E1"/>
    <w:rsid w:val="00D31513"/>
    <w:rsid w:val="00D32AF4"/>
    <w:rsid w:val="00D33B21"/>
    <w:rsid w:val="00D3771F"/>
    <w:rsid w:val="00D378C5"/>
    <w:rsid w:val="00D41E2E"/>
    <w:rsid w:val="00D4486D"/>
    <w:rsid w:val="00D51AF9"/>
    <w:rsid w:val="00D55751"/>
    <w:rsid w:val="00D57421"/>
    <w:rsid w:val="00D61C55"/>
    <w:rsid w:val="00D6383D"/>
    <w:rsid w:val="00D64273"/>
    <w:rsid w:val="00D64B3A"/>
    <w:rsid w:val="00D65277"/>
    <w:rsid w:val="00D66B34"/>
    <w:rsid w:val="00D711DC"/>
    <w:rsid w:val="00D71A1C"/>
    <w:rsid w:val="00D73EB5"/>
    <w:rsid w:val="00D7480F"/>
    <w:rsid w:val="00D75DA8"/>
    <w:rsid w:val="00D8207C"/>
    <w:rsid w:val="00D8430B"/>
    <w:rsid w:val="00D85BE0"/>
    <w:rsid w:val="00D908F8"/>
    <w:rsid w:val="00D90F4D"/>
    <w:rsid w:val="00D931FF"/>
    <w:rsid w:val="00D94E18"/>
    <w:rsid w:val="00DA76BE"/>
    <w:rsid w:val="00DB3187"/>
    <w:rsid w:val="00DB7F32"/>
    <w:rsid w:val="00DC3E54"/>
    <w:rsid w:val="00DC5E43"/>
    <w:rsid w:val="00DC7982"/>
    <w:rsid w:val="00DD05E3"/>
    <w:rsid w:val="00DD1BC9"/>
    <w:rsid w:val="00DD6B94"/>
    <w:rsid w:val="00DE161A"/>
    <w:rsid w:val="00DE2A11"/>
    <w:rsid w:val="00E00FE9"/>
    <w:rsid w:val="00E011CC"/>
    <w:rsid w:val="00E0358D"/>
    <w:rsid w:val="00E158C5"/>
    <w:rsid w:val="00E217FF"/>
    <w:rsid w:val="00E2426A"/>
    <w:rsid w:val="00E2621F"/>
    <w:rsid w:val="00E30F2D"/>
    <w:rsid w:val="00E317FF"/>
    <w:rsid w:val="00E320EB"/>
    <w:rsid w:val="00E37F38"/>
    <w:rsid w:val="00E40C37"/>
    <w:rsid w:val="00E4137B"/>
    <w:rsid w:val="00E420D2"/>
    <w:rsid w:val="00E42530"/>
    <w:rsid w:val="00E44A92"/>
    <w:rsid w:val="00E52AB5"/>
    <w:rsid w:val="00E54159"/>
    <w:rsid w:val="00E56369"/>
    <w:rsid w:val="00E60DBA"/>
    <w:rsid w:val="00E617D6"/>
    <w:rsid w:val="00E62F58"/>
    <w:rsid w:val="00E63F04"/>
    <w:rsid w:val="00E65899"/>
    <w:rsid w:val="00E66887"/>
    <w:rsid w:val="00E736DC"/>
    <w:rsid w:val="00E73A55"/>
    <w:rsid w:val="00E73B86"/>
    <w:rsid w:val="00E76B4D"/>
    <w:rsid w:val="00E80ABA"/>
    <w:rsid w:val="00E823D7"/>
    <w:rsid w:val="00E83D01"/>
    <w:rsid w:val="00E87708"/>
    <w:rsid w:val="00E94513"/>
    <w:rsid w:val="00E95E9B"/>
    <w:rsid w:val="00EA222A"/>
    <w:rsid w:val="00EA383C"/>
    <w:rsid w:val="00EA5688"/>
    <w:rsid w:val="00EA6DAF"/>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B85"/>
    <w:rsid w:val="00F05D79"/>
    <w:rsid w:val="00F07213"/>
    <w:rsid w:val="00F07C58"/>
    <w:rsid w:val="00F130C7"/>
    <w:rsid w:val="00F161D2"/>
    <w:rsid w:val="00F217F0"/>
    <w:rsid w:val="00F232F6"/>
    <w:rsid w:val="00F264CE"/>
    <w:rsid w:val="00F3080A"/>
    <w:rsid w:val="00F358D0"/>
    <w:rsid w:val="00F360B4"/>
    <w:rsid w:val="00F40B2D"/>
    <w:rsid w:val="00F45B21"/>
    <w:rsid w:val="00F508EE"/>
    <w:rsid w:val="00F51B36"/>
    <w:rsid w:val="00F5225D"/>
    <w:rsid w:val="00F537FE"/>
    <w:rsid w:val="00F5625B"/>
    <w:rsid w:val="00F60F2C"/>
    <w:rsid w:val="00F709D1"/>
    <w:rsid w:val="00F72EB0"/>
    <w:rsid w:val="00F73DE3"/>
    <w:rsid w:val="00F73F46"/>
    <w:rsid w:val="00F82A2C"/>
    <w:rsid w:val="00F83145"/>
    <w:rsid w:val="00F853BD"/>
    <w:rsid w:val="00F85B45"/>
    <w:rsid w:val="00F87880"/>
    <w:rsid w:val="00F87DD1"/>
    <w:rsid w:val="00F91E85"/>
    <w:rsid w:val="00FA5182"/>
    <w:rsid w:val="00FA5792"/>
    <w:rsid w:val="00FB0F7A"/>
    <w:rsid w:val="00FB1AE1"/>
    <w:rsid w:val="00FB2D86"/>
    <w:rsid w:val="00FC00A8"/>
    <w:rsid w:val="00FC124A"/>
    <w:rsid w:val="00FC1AF2"/>
    <w:rsid w:val="00FC3B59"/>
    <w:rsid w:val="00FD7037"/>
    <w:rsid w:val="00FE356E"/>
    <w:rsid w:val="00FE5625"/>
    <w:rsid w:val="00FE597E"/>
    <w:rsid w:val="00FE60EE"/>
    <w:rsid w:val="00FE67F9"/>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F128D8-431E-4AA0-A5D9-026A8B8A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2419</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5</cp:revision>
  <cp:lastPrinted>2018-01-24T21:53:00Z</cp:lastPrinted>
  <dcterms:created xsi:type="dcterms:W3CDTF">2018-05-21T17:41:00Z</dcterms:created>
  <dcterms:modified xsi:type="dcterms:W3CDTF">2018-05-21T17:54:00Z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