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4E" w:rsidRDefault="009C704E" w:rsidP="005160A3">
      <w:pPr>
        <w:pStyle w:val="Sangradetextonormal"/>
        <w:jc w:val="center"/>
        <w:outlineLvl w:val="0"/>
        <w:rPr>
          <w:rFonts w:ascii="Soberana Sans" w:hAnsi="Soberana Sans"/>
          <w:b/>
          <w:sz w:val="18"/>
          <w:szCs w:val="18"/>
        </w:rPr>
      </w:pPr>
    </w:p>
    <w:p w:rsidR="00765CF0" w:rsidRPr="004A5363" w:rsidRDefault="00765CF0" w:rsidP="00765CF0">
      <w:pPr>
        <w:pStyle w:val="ANOTACION0"/>
        <w:spacing w:line="238" w:lineRule="exact"/>
        <w:rPr>
          <w:rFonts w:ascii="Soberana Sans" w:hAnsi="Soberana Sans" w:cs="Arial"/>
        </w:rPr>
      </w:pPr>
      <w:r w:rsidRPr="004A5363">
        <w:rPr>
          <w:rFonts w:ascii="Soberana Sans" w:hAnsi="Soberana Sans" w:cs="Arial"/>
        </w:rPr>
        <w:t>Modificación al Anexo 3 de la Resolución Miscelánea Fiscal para 201</w:t>
      </w:r>
      <w:r>
        <w:rPr>
          <w:rFonts w:ascii="Soberana Sans" w:hAnsi="Soberana Sans" w:cs="Arial"/>
        </w:rPr>
        <w:t>7</w:t>
      </w:r>
    </w:p>
    <w:p w:rsidR="00765CF0" w:rsidRDefault="00765CF0" w:rsidP="00765CF0">
      <w:pPr>
        <w:pStyle w:val="Texto0"/>
        <w:spacing w:line="238" w:lineRule="exact"/>
        <w:jc w:val="center"/>
        <w:rPr>
          <w:rFonts w:ascii="Soberana Sans" w:hAnsi="Soberana Sans"/>
          <w:b/>
        </w:rPr>
      </w:pPr>
      <w:r w:rsidRPr="004A5363">
        <w:rPr>
          <w:rFonts w:ascii="Soberana Sans" w:hAnsi="Soberana Sans"/>
          <w:b/>
        </w:rPr>
        <w:t>CRITERIOS NO VINCULATIVO</w:t>
      </w:r>
      <w:r>
        <w:rPr>
          <w:rFonts w:ascii="Soberana Sans" w:hAnsi="Soberana Sans"/>
          <w:b/>
        </w:rPr>
        <w:t>S DE LAS DISPOSICIONES FISCALES</w:t>
      </w:r>
    </w:p>
    <w:p w:rsidR="00765CF0" w:rsidRPr="008D1291" w:rsidRDefault="00765CF0" w:rsidP="00765CF0">
      <w:pPr>
        <w:pStyle w:val="Texto0"/>
        <w:spacing w:line="238" w:lineRule="exact"/>
        <w:jc w:val="left"/>
        <w:rPr>
          <w:rFonts w:ascii="Soberana Sans" w:hAnsi="Soberana Sans"/>
          <w:b/>
        </w:rPr>
      </w:pPr>
    </w:p>
    <w:p w:rsidR="00765CF0" w:rsidRPr="00F66735" w:rsidRDefault="00765CF0" w:rsidP="00765CF0">
      <w:pPr>
        <w:pStyle w:val="Texto0"/>
        <w:spacing w:line="238" w:lineRule="exact"/>
        <w:ind w:firstLine="0"/>
        <w:rPr>
          <w:rFonts w:ascii="Soberana Sans" w:hAnsi="Soberana Sans"/>
        </w:rPr>
      </w:pPr>
      <w:r w:rsidRPr="007650D2">
        <w:rPr>
          <w:rFonts w:ascii="Soberana Sans" w:hAnsi="Soberana Sans"/>
          <w:b/>
          <w:szCs w:val="18"/>
          <w:lang w:val="es-ES_tradnl"/>
        </w:rPr>
        <w:t xml:space="preserve">PRIMERO. </w:t>
      </w:r>
      <w:r w:rsidRPr="007650D2">
        <w:rPr>
          <w:rFonts w:ascii="Soberana Sans" w:hAnsi="Soberana Sans"/>
          <w:szCs w:val="18"/>
          <w:lang w:val="es-ES_tradnl"/>
        </w:rPr>
        <w:t xml:space="preserve">De conformidad </w:t>
      </w:r>
      <w:r>
        <w:rPr>
          <w:rFonts w:ascii="Soberana Sans" w:hAnsi="Soberana Sans"/>
          <w:szCs w:val="18"/>
          <w:lang w:val="es-ES_tradnl"/>
        </w:rPr>
        <w:t>con el</w:t>
      </w:r>
      <w:r w:rsidRPr="007650D2">
        <w:rPr>
          <w:rFonts w:ascii="Soberana Sans" w:hAnsi="Soberana Sans"/>
          <w:szCs w:val="18"/>
          <w:lang w:val="es-ES_tradnl"/>
        </w:rPr>
        <w:t xml:space="preserve"> artículo 33, </w:t>
      </w:r>
      <w:r>
        <w:rPr>
          <w:rFonts w:ascii="Soberana Sans" w:hAnsi="Soberana Sans"/>
          <w:szCs w:val="18"/>
          <w:lang w:val="es-ES_tradnl"/>
        </w:rPr>
        <w:t>fracción I, inciso h)</w:t>
      </w:r>
      <w:r w:rsidRPr="007650D2">
        <w:rPr>
          <w:rFonts w:ascii="Soberana Sans" w:hAnsi="Soberana Sans"/>
          <w:szCs w:val="18"/>
          <w:lang w:val="es-ES_tradnl"/>
        </w:rPr>
        <w:t xml:space="preserve"> del CFF, en relación con la regla 1.9., fracción </w:t>
      </w:r>
      <w:r>
        <w:rPr>
          <w:rFonts w:ascii="Soberana Sans" w:hAnsi="Soberana Sans"/>
          <w:szCs w:val="18"/>
          <w:lang w:val="es-ES_tradnl"/>
        </w:rPr>
        <w:t>IV</w:t>
      </w:r>
      <w:r w:rsidRPr="007650D2">
        <w:rPr>
          <w:rFonts w:ascii="Soberana Sans" w:hAnsi="Soberana Sans"/>
          <w:szCs w:val="18"/>
          <w:lang w:val="es-ES_tradnl"/>
        </w:rPr>
        <w:t xml:space="preserve"> de la RMF 201</w:t>
      </w:r>
      <w:r>
        <w:rPr>
          <w:rFonts w:ascii="Soberana Sans" w:hAnsi="Soberana Sans"/>
          <w:szCs w:val="18"/>
          <w:lang w:val="es-ES_tradnl"/>
        </w:rPr>
        <w:t>7</w:t>
      </w:r>
      <w:r w:rsidRPr="007650D2">
        <w:rPr>
          <w:rFonts w:ascii="Soberana Sans" w:hAnsi="Soberana Sans"/>
          <w:szCs w:val="18"/>
          <w:lang w:val="es-ES_tradnl"/>
        </w:rPr>
        <w:t xml:space="preserve">, se dan a conocer los criterios </w:t>
      </w:r>
      <w:r>
        <w:rPr>
          <w:rFonts w:ascii="Soberana Sans" w:hAnsi="Soberana Sans"/>
          <w:szCs w:val="18"/>
          <w:lang w:val="es-ES_tradnl"/>
        </w:rPr>
        <w:t>no vinculativos</w:t>
      </w:r>
      <w:r w:rsidRPr="007650D2">
        <w:rPr>
          <w:rFonts w:ascii="Soberana Sans" w:hAnsi="Soberana Sans"/>
          <w:szCs w:val="18"/>
          <w:lang w:val="es-ES_tradnl"/>
        </w:rPr>
        <w:t xml:space="preserve"> </w:t>
      </w:r>
      <w:r>
        <w:rPr>
          <w:rFonts w:ascii="Soberana Sans" w:hAnsi="Soberana Sans"/>
          <w:szCs w:val="18"/>
          <w:lang w:val="es-ES_tradnl"/>
        </w:rPr>
        <w:t xml:space="preserve">de las disposiciones fiscales </w:t>
      </w:r>
      <w:r w:rsidRPr="007650D2">
        <w:rPr>
          <w:rFonts w:ascii="Soberana Sans" w:hAnsi="Soberana Sans"/>
          <w:szCs w:val="18"/>
          <w:lang w:val="es-ES_tradnl"/>
        </w:rPr>
        <w:t>conforme a lo siguiente:</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343"/>
      </w:tblGrid>
      <w:tr w:rsidR="00765CF0" w:rsidRPr="004A5363" w:rsidTr="0064362A">
        <w:trPr>
          <w:trHeight w:val="20"/>
        </w:trPr>
        <w:tc>
          <w:tcPr>
            <w:tcW w:w="5000" w:type="pct"/>
            <w:shd w:val="clear" w:color="auto" w:fill="D9D9D9" w:themeFill="background1" w:themeFillShade="D9"/>
          </w:tcPr>
          <w:p w:rsidR="00765CF0" w:rsidRPr="004A5363" w:rsidRDefault="00765CF0" w:rsidP="0091486F">
            <w:pPr>
              <w:pStyle w:val="Texto0"/>
              <w:spacing w:line="238" w:lineRule="exact"/>
              <w:ind w:firstLine="0"/>
              <w:jc w:val="center"/>
              <w:rPr>
                <w:rFonts w:ascii="Soberana Sans" w:hAnsi="Soberana Sans"/>
                <w:b/>
                <w:noProof/>
                <w:szCs w:val="18"/>
              </w:rPr>
            </w:pPr>
            <w:r w:rsidRPr="004A5363">
              <w:rPr>
                <w:rFonts w:ascii="Soberana Sans" w:hAnsi="Soberana Sans"/>
                <w:b/>
                <w:noProof/>
                <w:szCs w:val="18"/>
              </w:rPr>
              <w:t>Contenido</w:t>
            </w:r>
          </w:p>
        </w:tc>
      </w:tr>
      <w:tr w:rsidR="00765CF0" w:rsidRPr="004A5363" w:rsidTr="0064362A">
        <w:trPr>
          <w:trHeight w:val="20"/>
        </w:trPr>
        <w:tc>
          <w:tcPr>
            <w:tcW w:w="5000" w:type="pct"/>
          </w:tcPr>
          <w:p w:rsidR="00765CF0" w:rsidRPr="004A5363" w:rsidRDefault="00765CF0" w:rsidP="0091486F">
            <w:pPr>
              <w:pStyle w:val="Texto0"/>
              <w:spacing w:line="238" w:lineRule="exact"/>
              <w:ind w:firstLine="0"/>
              <w:rPr>
                <w:rFonts w:ascii="Soberana Sans" w:hAnsi="Soberana Sans"/>
                <w:b/>
                <w:szCs w:val="18"/>
              </w:rPr>
            </w:pPr>
            <w:r w:rsidRPr="004A5363">
              <w:rPr>
                <w:rFonts w:ascii="Soberana Sans" w:hAnsi="Soberana Sans"/>
                <w:b/>
                <w:szCs w:val="18"/>
              </w:rPr>
              <w:t>APARTADOS:</w:t>
            </w:r>
          </w:p>
        </w:tc>
      </w:tr>
      <w:tr w:rsidR="00765CF0" w:rsidRPr="00432DCD" w:rsidTr="0064362A">
        <w:trPr>
          <w:trHeight w:val="20"/>
        </w:trPr>
        <w:tc>
          <w:tcPr>
            <w:tcW w:w="5000" w:type="pct"/>
          </w:tcPr>
          <w:p w:rsidR="00765CF0" w:rsidRPr="004A5363" w:rsidRDefault="00765CF0" w:rsidP="0091486F">
            <w:pPr>
              <w:pStyle w:val="Texto0"/>
              <w:spacing w:line="238" w:lineRule="exact"/>
              <w:ind w:firstLine="0"/>
              <w:jc w:val="center"/>
              <w:rPr>
                <w:rFonts w:ascii="Soberana Sans" w:hAnsi="Soberana Sans"/>
                <w:b/>
                <w:szCs w:val="18"/>
              </w:rPr>
            </w:pPr>
            <w:r w:rsidRPr="004A5363">
              <w:rPr>
                <w:rFonts w:ascii="Soberana Sans" w:hAnsi="Soberana Sans"/>
                <w:b/>
                <w:szCs w:val="18"/>
              </w:rPr>
              <w:t>A. Criterios del CFF</w:t>
            </w:r>
          </w:p>
          <w:p w:rsidR="00765CF0" w:rsidRPr="004A5363" w:rsidRDefault="00765CF0" w:rsidP="0091486F">
            <w:pPr>
              <w:pStyle w:val="Texto0"/>
              <w:spacing w:line="238" w:lineRule="exact"/>
              <w:ind w:firstLine="0"/>
              <w:jc w:val="center"/>
              <w:rPr>
                <w:rFonts w:ascii="Soberana Sans" w:hAnsi="Soberana Sans"/>
                <w:b/>
                <w:szCs w:val="18"/>
              </w:rPr>
            </w:pPr>
          </w:p>
          <w:p w:rsidR="00765CF0" w:rsidRDefault="00765CF0" w:rsidP="0091486F">
            <w:pPr>
              <w:pStyle w:val="Texto0"/>
              <w:spacing w:line="238" w:lineRule="exact"/>
              <w:ind w:firstLine="0"/>
              <w:rPr>
                <w:rFonts w:ascii="Soberana Sans" w:hAnsi="Soberana Sans"/>
                <w:szCs w:val="18"/>
              </w:rPr>
            </w:pPr>
            <w:r w:rsidRPr="004A5363">
              <w:rPr>
                <w:rFonts w:ascii="Soberana Sans" w:hAnsi="Soberana Sans"/>
                <w:b/>
                <w:szCs w:val="18"/>
              </w:rPr>
              <w:t xml:space="preserve">1/CFF/NV </w:t>
            </w:r>
            <w:r w:rsidRPr="004A5363">
              <w:rPr>
                <w:rFonts w:ascii="Soberana Sans" w:hAnsi="Soberana Sans"/>
                <w:szCs w:val="18"/>
              </w:rPr>
              <w:tab/>
              <w:t>………………………………………………………………………………………………………</w:t>
            </w:r>
            <w:r>
              <w:rPr>
                <w:rFonts w:ascii="Soberana Sans" w:hAnsi="Soberana Sans"/>
                <w:szCs w:val="18"/>
              </w:rPr>
              <w:t>……………………………</w:t>
            </w:r>
            <w:proofErr w:type="gramStart"/>
            <w:r>
              <w:rPr>
                <w:rFonts w:ascii="Soberana Sans" w:hAnsi="Soberana Sans"/>
                <w:szCs w:val="18"/>
              </w:rPr>
              <w:t>…….</w:t>
            </w:r>
            <w:proofErr w:type="gramEnd"/>
            <w:r>
              <w:rPr>
                <w:rFonts w:ascii="Soberana Sans" w:hAnsi="Soberana Sans"/>
                <w:szCs w:val="18"/>
              </w:rPr>
              <w:t>……………………………</w:t>
            </w:r>
          </w:p>
          <w:p w:rsidR="00765CF0" w:rsidRPr="004A5363" w:rsidRDefault="00765CF0" w:rsidP="0091486F">
            <w:pPr>
              <w:pStyle w:val="Texto0"/>
              <w:spacing w:line="238" w:lineRule="exact"/>
              <w:ind w:firstLine="0"/>
              <w:rPr>
                <w:rFonts w:ascii="Soberana Sans" w:hAnsi="Soberana Sans"/>
                <w:b/>
                <w:szCs w:val="18"/>
              </w:rPr>
            </w:pPr>
          </w:p>
          <w:p w:rsidR="00765CF0" w:rsidRPr="004A5363" w:rsidRDefault="00765CF0" w:rsidP="0091486F">
            <w:pPr>
              <w:pStyle w:val="Texto0"/>
              <w:spacing w:line="238" w:lineRule="exact"/>
              <w:ind w:firstLine="0"/>
              <w:jc w:val="center"/>
              <w:rPr>
                <w:rFonts w:ascii="Soberana Sans" w:hAnsi="Soberana Sans"/>
                <w:szCs w:val="18"/>
              </w:rPr>
            </w:pPr>
            <w:r w:rsidRPr="004A5363">
              <w:rPr>
                <w:rFonts w:ascii="Soberana Sans" w:hAnsi="Soberana Sans"/>
                <w:b/>
                <w:szCs w:val="18"/>
              </w:rPr>
              <w:t>B. Criterios de la Ley del ISR</w:t>
            </w:r>
          </w:p>
          <w:p w:rsidR="00765CF0" w:rsidRPr="004F0FDC" w:rsidRDefault="00765CF0" w:rsidP="00DF0B56">
            <w:pPr>
              <w:pStyle w:val="Texto0"/>
              <w:spacing w:line="238" w:lineRule="exact"/>
              <w:ind w:left="1338" w:hanging="1338"/>
              <w:rPr>
                <w:rFonts w:ascii="Soberana Sans" w:hAnsi="Soberana Sans"/>
                <w:szCs w:val="18"/>
                <w:lang w:val="pt-BR"/>
              </w:rPr>
            </w:pPr>
            <w:r w:rsidRPr="004F0FDC">
              <w:rPr>
                <w:rFonts w:ascii="Soberana Sans" w:hAnsi="Soberana Sans"/>
                <w:b/>
                <w:szCs w:val="18"/>
                <w:lang w:val="pt-BR"/>
              </w:rPr>
              <w:t>1/ISR/NV a</w:t>
            </w:r>
            <w:r w:rsidR="004B45D8" w:rsidRPr="004F0FDC">
              <w:rPr>
                <w:rFonts w:ascii="Soberana Sans" w:hAnsi="Soberana Sans"/>
                <w:szCs w:val="18"/>
                <w:lang w:val="pt-BR"/>
              </w:rPr>
              <w:tab/>
              <w:t>……………………………………………………………………………………………………………………………………………………………………….</w:t>
            </w:r>
          </w:p>
          <w:p w:rsidR="00785A34" w:rsidRPr="004F0FDC" w:rsidRDefault="00174223" w:rsidP="00DF0B56">
            <w:pPr>
              <w:pStyle w:val="Texto0"/>
              <w:spacing w:line="238" w:lineRule="exact"/>
              <w:ind w:left="1338" w:hanging="1338"/>
              <w:rPr>
                <w:rFonts w:ascii="Soberana Sans" w:hAnsi="Soberana Sans"/>
                <w:szCs w:val="18"/>
                <w:lang w:val="pt-BR"/>
              </w:rPr>
            </w:pPr>
            <w:r w:rsidRPr="004F0FDC">
              <w:rPr>
                <w:rFonts w:ascii="Soberana Sans" w:hAnsi="Soberana Sans"/>
                <w:b/>
                <w:szCs w:val="18"/>
                <w:lang w:val="pt-BR"/>
              </w:rPr>
              <w:t>35</w:t>
            </w:r>
            <w:r w:rsidR="00785A34" w:rsidRPr="004F0FDC">
              <w:rPr>
                <w:rFonts w:ascii="Soberana Sans" w:hAnsi="Soberana Sans"/>
                <w:b/>
                <w:szCs w:val="18"/>
                <w:lang w:val="pt-BR"/>
              </w:rPr>
              <w:t>/ISR/NV</w:t>
            </w:r>
            <w:r w:rsidR="00785A34" w:rsidRPr="004F0FDC">
              <w:rPr>
                <w:rFonts w:ascii="Soberana Sans" w:hAnsi="Soberana Sans"/>
                <w:b/>
                <w:szCs w:val="18"/>
                <w:lang w:val="pt-BR"/>
              </w:rPr>
              <w:tab/>
            </w:r>
            <w:r w:rsidR="00DF0B56" w:rsidRPr="004F0FDC">
              <w:rPr>
                <w:rFonts w:ascii="Soberana Sans" w:hAnsi="Soberana Sans"/>
                <w:szCs w:val="18"/>
                <w:lang w:val="pt-BR"/>
              </w:rPr>
              <w:t>……………………………………………………………………………………………………………………………………………………………………..</w:t>
            </w:r>
            <w:r w:rsidR="00785A34" w:rsidRPr="004F0FDC">
              <w:rPr>
                <w:rFonts w:ascii="Soberana Sans" w:hAnsi="Soberana Sans"/>
                <w:szCs w:val="18"/>
                <w:lang w:val="pt-BR"/>
              </w:rPr>
              <w:t>.</w:t>
            </w:r>
          </w:p>
          <w:p w:rsidR="00DF0B56" w:rsidRPr="00A36E22" w:rsidRDefault="005D64FF" w:rsidP="00DF0B56">
            <w:pPr>
              <w:pStyle w:val="Texto0"/>
              <w:spacing w:line="238" w:lineRule="exact"/>
              <w:ind w:left="1338" w:hanging="1338"/>
              <w:rPr>
                <w:rFonts w:ascii="Soberana Sans" w:hAnsi="Soberana Sans"/>
                <w:szCs w:val="18"/>
              </w:rPr>
            </w:pPr>
            <w:r>
              <w:rPr>
                <w:rFonts w:ascii="Soberana Sans" w:hAnsi="Soberana Sans"/>
                <w:b/>
                <w:szCs w:val="18"/>
              </w:rPr>
              <w:t>36</w:t>
            </w:r>
            <w:r w:rsidR="00DF0B56">
              <w:rPr>
                <w:rFonts w:ascii="Soberana Sans" w:hAnsi="Soberana Sans"/>
                <w:b/>
                <w:szCs w:val="18"/>
              </w:rPr>
              <w:t>/ISR/NV</w:t>
            </w:r>
            <w:r w:rsidR="00DF0B56">
              <w:rPr>
                <w:rFonts w:ascii="Soberana Sans" w:hAnsi="Soberana Sans"/>
                <w:b/>
                <w:szCs w:val="18"/>
              </w:rPr>
              <w:tab/>
            </w:r>
            <w:r w:rsidR="00DF0B56" w:rsidRPr="00A36E22">
              <w:rPr>
                <w:rFonts w:ascii="Soberana Sans" w:hAnsi="Soberana Sans"/>
                <w:bCs/>
              </w:rPr>
              <w:t xml:space="preserve">Ingresos obtenidos por residentes en el extranjero, por </w:t>
            </w:r>
            <w:r w:rsidR="00DF0B56">
              <w:rPr>
                <w:rFonts w:ascii="Soberana Sans" w:hAnsi="Soberana Sans"/>
                <w:bCs/>
              </w:rPr>
              <w:t>arrendamiento o fletam</w:t>
            </w:r>
            <w:r w:rsidR="00DF0B56" w:rsidRPr="00A36E22">
              <w:rPr>
                <w:rFonts w:ascii="Soberana Sans" w:hAnsi="Soberana Sans"/>
                <w:bCs/>
              </w:rPr>
              <w:t>ento de embarcaciones o artefactos navales a casco desnudo, con fuente de riqueza en territorio nacional.</w:t>
            </w:r>
          </w:p>
          <w:p w:rsidR="00765CF0" w:rsidRPr="005064E6" w:rsidRDefault="00765CF0" w:rsidP="00DF0B56">
            <w:pPr>
              <w:pStyle w:val="Texto0"/>
              <w:spacing w:line="238" w:lineRule="exact"/>
              <w:ind w:left="1117" w:hanging="1117"/>
              <w:rPr>
                <w:rFonts w:ascii="Soberana Sans" w:hAnsi="Soberana Sans"/>
                <w:b/>
                <w:szCs w:val="18"/>
              </w:rPr>
            </w:pPr>
          </w:p>
          <w:p w:rsidR="00765CF0" w:rsidRPr="004A5363" w:rsidRDefault="00765CF0" w:rsidP="0091486F">
            <w:pPr>
              <w:pStyle w:val="Texto0"/>
              <w:spacing w:line="238" w:lineRule="exact"/>
              <w:ind w:left="990" w:hanging="990"/>
              <w:jc w:val="center"/>
              <w:rPr>
                <w:rFonts w:ascii="Soberana Sans" w:hAnsi="Soberana Sans"/>
                <w:b/>
                <w:szCs w:val="18"/>
              </w:rPr>
            </w:pPr>
            <w:r w:rsidRPr="004A5363">
              <w:rPr>
                <w:rFonts w:ascii="Soberana Sans" w:hAnsi="Soberana Sans"/>
                <w:b/>
                <w:szCs w:val="18"/>
              </w:rPr>
              <w:t>C. Criterios de la Ley del IVA</w:t>
            </w:r>
          </w:p>
          <w:p w:rsidR="00765CF0" w:rsidRPr="004B45D8" w:rsidRDefault="00765CF0" w:rsidP="0091486F">
            <w:pPr>
              <w:pStyle w:val="Texto0"/>
              <w:spacing w:line="238" w:lineRule="exact"/>
              <w:ind w:firstLine="0"/>
              <w:rPr>
                <w:rFonts w:ascii="Soberana Sans" w:hAnsi="Soberana Sans"/>
                <w:szCs w:val="18"/>
                <w:lang w:val="pt-BR"/>
              </w:rPr>
            </w:pPr>
            <w:r w:rsidRPr="00AE694E">
              <w:rPr>
                <w:rFonts w:ascii="Soberana Sans" w:hAnsi="Soberana Sans"/>
                <w:b/>
                <w:szCs w:val="18"/>
                <w:lang w:val="pt-BR"/>
              </w:rPr>
              <w:t>1/IVA/NV a</w:t>
            </w:r>
            <w:r w:rsidR="004B45D8">
              <w:rPr>
                <w:rFonts w:ascii="Soberana Sans" w:hAnsi="Soberana Sans"/>
                <w:b/>
                <w:szCs w:val="18"/>
                <w:lang w:val="pt-BR"/>
              </w:rPr>
              <w:tab/>
            </w:r>
            <w:r w:rsidR="004B45D8">
              <w:rPr>
                <w:rFonts w:ascii="Soberana Sans" w:hAnsi="Soberana Sans"/>
                <w:szCs w:val="18"/>
                <w:lang w:val="pt-BR"/>
              </w:rPr>
              <w:t>.................................................................................................................................................................................</w:t>
            </w:r>
          </w:p>
          <w:p w:rsidR="00765CF0" w:rsidRPr="00765CF0" w:rsidRDefault="00765CF0" w:rsidP="004B45D8">
            <w:pPr>
              <w:pStyle w:val="Texto0"/>
              <w:spacing w:line="238" w:lineRule="exact"/>
              <w:ind w:left="1418" w:hanging="1418"/>
              <w:rPr>
                <w:rFonts w:ascii="Soberana Sans" w:hAnsi="Soberana Sans"/>
                <w:szCs w:val="18"/>
                <w:lang w:val="pt-BR"/>
              </w:rPr>
            </w:pPr>
            <w:r w:rsidRPr="00AE694E">
              <w:rPr>
                <w:rFonts w:ascii="Soberana Sans" w:hAnsi="Soberana Sans"/>
                <w:b/>
                <w:szCs w:val="18"/>
                <w:lang w:val="pt-BR"/>
              </w:rPr>
              <w:t>9/IVA/NV</w:t>
            </w:r>
            <w:r w:rsidRPr="00AE694E">
              <w:rPr>
                <w:rFonts w:ascii="Soberana Sans" w:hAnsi="Soberana Sans"/>
                <w:b/>
                <w:szCs w:val="18"/>
                <w:lang w:val="pt-BR"/>
              </w:rPr>
              <w:tab/>
            </w:r>
            <w:r>
              <w:rPr>
                <w:rFonts w:ascii="Soberana Sans" w:hAnsi="Soberana Sans"/>
                <w:szCs w:val="18"/>
                <w:lang w:val="pt-BR"/>
              </w:rPr>
              <w:t>.............</w:t>
            </w:r>
            <w:r w:rsidR="004B45D8">
              <w:rPr>
                <w:rFonts w:ascii="Soberana Sans" w:hAnsi="Soberana Sans"/>
                <w:szCs w:val="18"/>
                <w:lang w:val="pt-BR"/>
              </w:rPr>
              <w:t>..............................</w:t>
            </w:r>
            <w:r>
              <w:rPr>
                <w:rFonts w:ascii="Soberana Sans" w:hAnsi="Soberana Sans"/>
                <w:szCs w:val="18"/>
                <w:lang w:val="pt-BR"/>
              </w:rPr>
              <w:t>......................................................................................................................................</w:t>
            </w:r>
          </w:p>
          <w:p w:rsidR="00765CF0" w:rsidRPr="00AE694E" w:rsidRDefault="00765CF0" w:rsidP="0091486F">
            <w:pPr>
              <w:pStyle w:val="Texto0"/>
              <w:spacing w:line="238" w:lineRule="exact"/>
              <w:ind w:left="1296" w:hanging="1296"/>
              <w:rPr>
                <w:rFonts w:ascii="Soberana Sans" w:hAnsi="Soberana Sans"/>
                <w:b/>
                <w:szCs w:val="18"/>
                <w:lang w:val="pt-BR"/>
              </w:rPr>
            </w:pPr>
          </w:p>
          <w:p w:rsidR="00765CF0" w:rsidRPr="004A5363" w:rsidRDefault="00765CF0" w:rsidP="0091486F">
            <w:pPr>
              <w:pStyle w:val="Texto0"/>
              <w:spacing w:line="238" w:lineRule="exact"/>
              <w:ind w:firstLine="0"/>
              <w:jc w:val="center"/>
              <w:rPr>
                <w:rFonts w:ascii="Soberana Sans" w:hAnsi="Soberana Sans"/>
                <w:b/>
                <w:szCs w:val="18"/>
              </w:rPr>
            </w:pPr>
            <w:r w:rsidRPr="004A5363">
              <w:rPr>
                <w:rFonts w:ascii="Soberana Sans" w:hAnsi="Soberana Sans"/>
                <w:b/>
                <w:szCs w:val="18"/>
              </w:rPr>
              <w:t>D. Criterios de la Ley del IEPS</w:t>
            </w:r>
          </w:p>
          <w:p w:rsidR="00765CF0" w:rsidRPr="004F0FDC" w:rsidRDefault="00765CF0" w:rsidP="0091486F">
            <w:pPr>
              <w:pStyle w:val="Texto0"/>
              <w:spacing w:line="238" w:lineRule="exact"/>
              <w:ind w:firstLine="0"/>
              <w:rPr>
                <w:rFonts w:ascii="Soberana Sans" w:hAnsi="Soberana Sans"/>
                <w:szCs w:val="18"/>
                <w:lang w:val="pt-BR"/>
              </w:rPr>
            </w:pPr>
            <w:r w:rsidRPr="004F0FDC">
              <w:rPr>
                <w:rFonts w:ascii="Soberana Sans" w:hAnsi="Soberana Sans"/>
                <w:b/>
                <w:szCs w:val="18"/>
                <w:lang w:val="pt-BR"/>
              </w:rPr>
              <w:t>1/IEPS/NV a</w:t>
            </w:r>
            <w:r w:rsidRPr="004F0FDC">
              <w:rPr>
                <w:rFonts w:ascii="Soberana Sans" w:hAnsi="Soberana Sans"/>
                <w:b/>
                <w:szCs w:val="18"/>
                <w:lang w:val="pt-BR"/>
              </w:rPr>
              <w:tab/>
            </w:r>
            <w:r w:rsidRPr="004F0FDC">
              <w:rPr>
                <w:rFonts w:ascii="Soberana Sans" w:hAnsi="Soberana Sans"/>
                <w:szCs w:val="18"/>
                <w:lang w:val="pt-BR"/>
              </w:rPr>
              <w:t>……………………………………………………………………………………………………………………......................................................</w:t>
            </w:r>
          </w:p>
          <w:p w:rsidR="00765CF0" w:rsidRPr="004F0FDC" w:rsidRDefault="00765CF0" w:rsidP="004B45D8">
            <w:pPr>
              <w:pStyle w:val="Texto0"/>
              <w:tabs>
                <w:tab w:val="right" w:leader="dot" w:pos="8568"/>
              </w:tabs>
              <w:spacing w:line="238" w:lineRule="exact"/>
              <w:ind w:left="1418" w:hanging="1418"/>
              <w:rPr>
                <w:rFonts w:ascii="Soberana Sans" w:hAnsi="Soberana Sans"/>
                <w:szCs w:val="18"/>
                <w:lang w:val="pt-BR"/>
              </w:rPr>
            </w:pPr>
            <w:r w:rsidRPr="004F0FDC">
              <w:rPr>
                <w:rFonts w:ascii="Soberana Sans" w:hAnsi="Soberana Sans"/>
                <w:b/>
                <w:szCs w:val="18"/>
                <w:lang w:val="pt-BR"/>
              </w:rPr>
              <w:t>5/IEPS/NV</w:t>
            </w:r>
            <w:r w:rsidR="004B45D8" w:rsidRPr="004F0FDC">
              <w:rPr>
                <w:rFonts w:ascii="Soberana Sans" w:hAnsi="Soberana Sans"/>
                <w:b/>
                <w:szCs w:val="18"/>
                <w:lang w:val="pt-BR"/>
              </w:rPr>
              <w:tab/>
            </w:r>
            <w:r w:rsidR="004B45D8" w:rsidRPr="004F0FDC">
              <w:rPr>
                <w:rFonts w:ascii="Soberana Sans" w:hAnsi="Soberana Sans"/>
                <w:szCs w:val="18"/>
                <w:lang w:val="pt-BR"/>
              </w:rPr>
              <w:t>……………………………………………………………………………………………………………………………………………………………………….</w:t>
            </w:r>
          </w:p>
          <w:p w:rsidR="00765CF0" w:rsidRPr="004F0FDC" w:rsidRDefault="00765CF0" w:rsidP="0091486F">
            <w:pPr>
              <w:pStyle w:val="Texto0"/>
              <w:tabs>
                <w:tab w:val="right" w:leader="dot" w:pos="8568"/>
              </w:tabs>
              <w:spacing w:line="238" w:lineRule="exact"/>
              <w:ind w:left="1296" w:hanging="1296"/>
              <w:rPr>
                <w:rFonts w:ascii="Soberana Sans" w:hAnsi="Soberana Sans"/>
                <w:b/>
                <w:szCs w:val="18"/>
                <w:lang w:val="pt-BR"/>
              </w:rPr>
            </w:pPr>
          </w:p>
          <w:p w:rsidR="00765CF0" w:rsidRPr="004A5363" w:rsidRDefault="00765CF0" w:rsidP="0091486F">
            <w:pPr>
              <w:pStyle w:val="Texto0"/>
              <w:spacing w:line="238" w:lineRule="exact"/>
              <w:ind w:firstLine="0"/>
              <w:jc w:val="center"/>
              <w:rPr>
                <w:rFonts w:ascii="Soberana Sans" w:hAnsi="Soberana Sans"/>
                <w:b/>
                <w:szCs w:val="18"/>
              </w:rPr>
            </w:pPr>
            <w:r w:rsidRPr="004A5363">
              <w:rPr>
                <w:rFonts w:ascii="Soberana Sans" w:hAnsi="Soberana Sans"/>
                <w:b/>
                <w:szCs w:val="18"/>
              </w:rPr>
              <w:t>E. Criterios de la Ley de los Impuestos Generales de Importación y Exportación</w:t>
            </w:r>
          </w:p>
          <w:p w:rsidR="00765CF0" w:rsidRDefault="00765CF0" w:rsidP="0091486F">
            <w:pPr>
              <w:pStyle w:val="Texto0"/>
              <w:tabs>
                <w:tab w:val="right" w:leader="dot" w:pos="8568"/>
              </w:tabs>
              <w:spacing w:line="238" w:lineRule="exact"/>
              <w:ind w:left="1296" w:hanging="1296"/>
              <w:rPr>
                <w:rFonts w:ascii="Soberana Sans" w:hAnsi="Soberana Sans"/>
                <w:b/>
                <w:szCs w:val="18"/>
              </w:rPr>
            </w:pPr>
          </w:p>
          <w:p w:rsidR="00765CF0" w:rsidRDefault="00765CF0" w:rsidP="0091486F">
            <w:pPr>
              <w:pStyle w:val="Texto0"/>
              <w:tabs>
                <w:tab w:val="right" w:leader="dot" w:pos="8568"/>
              </w:tabs>
              <w:spacing w:line="238" w:lineRule="exact"/>
              <w:ind w:left="1296" w:hanging="1296"/>
              <w:rPr>
                <w:rFonts w:ascii="Soberana Sans" w:hAnsi="Soberana Sans"/>
                <w:szCs w:val="18"/>
              </w:rPr>
            </w:pPr>
            <w:r w:rsidRPr="004A5363">
              <w:rPr>
                <w:rFonts w:ascii="Soberana Sans" w:hAnsi="Soberana Sans"/>
                <w:b/>
                <w:szCs w:val="18"/>
              </w:rPr>
              <w:t>1/LIGIE/NV</w:t>
            </w:r>
            <w:r w:rsidRPr="004A5363">
              <w:rPr>
                <w:rFonts w:ascii="Soberana Sans" w:hAnsi="Soberana Sans"/>
                <w:szCs w:val="18"/>
              </w:rPr>
              <w:tab/>
            </w:r>
            <w:r>
              <w:rPr>
                <w:rFonts w:ascii="Soberana Sans" w:hAnsi="Soberana Sans"/>
                <w:szCs w:val="18"/>
              </w:rPr>
              <w:t>………………………………………………………………………………………………………………………………………………………………………….</w:t>
            </w:r>
          </w:p>
          <w:p w:rsidR="00765CF0" w:rsidRPr="006A4B15" w:rsidRDefault="00765CF0" w:rsidP="0091486F">
            <w:pPr>
              <w:pStyle w:val="Texto0"/>
              <w:tabs>
                <w:tab w:val="right" w:leader="dot" w:pos="8568"/>
              </w:tabs>
              <w:spacing w:line="238" w:lineRule="exact"/>
              <w:ind w:left="1296" w:hanging="1296"/>
              <w:rPr>
                <w:rFonts w:ascii="Soberana Sans" w:hAnsi="Soberana Sans"/>
                <w:b/>
                <w:szCs w:val="18"/>
              </w:rPr>
            </w:pPr>
          </w:p>
          <w:p w:rsidR="00765CF0" w:rsidRPr="004A5363" w:rsidRDefault="00765CF0" w:rsidP="0091486F">
            <w:pPr>
              <w:pStyle w:val="Texto0"/>
              <w:spacing w:line="238" w:lineRule="exact"/>
              <w:ind w:firstLine="0"/>
              <w:jc w:val="center"/>
              <w:rPr>
                <w:rFonts w:ascii="Soberana Sans" w:hAnsi="Soberana Sans"/>
                <w:b/>
                <w:szCs w:val="18"/>
              </w:rPr>
            </w:pPr>
            <w:r w:rsidRPr="004A5363">
              <w:rPr>
                <w:rFonts w:ascii="Soberana Sans" w:hAnsi="Soberana Sans"/>
                <w:b/>
                <w:szCs w:val="18"/>
              </w:rPr>
              <w:t>F. Criterios de la LISH</w:t>
            </w:r>
          </w:p>
          <w:p w:rsidR="00765CF0" w:rsidRPr="004B45D8" w:rsidRDefault="00765CF0" w:rsidP="0091486F">
            <w:pPr>
              <w:pStyle w:val="Texto0"/>
              <w:tabs>
                <w:tab w:val="right" w:leader="dot" w:pos="8568"/>
              </w:tabs>
              <w:spacing w:line="238" w:lineRule="exact"/>
              <w:ind w:left="1296" w:hanging="1296"/>
              <w:rPr>
                <w:rFonts w:ascii="Soberana Sans" w:hAnsi="Soberana Sans"/>
                <w:szCs w:val="18"/>
                <w:lang w:val="en-US"/>
              </w:rPr>
            </w:pPr>
            <w:r w:rsidRPr="004A5363">
              <w:rPr>
                <w:rFonts w:ascii="Soberana Sans" w:hAnsi="Soberana Sans"/>
                <w:b/>
                <w:szCs w:val="18"/>
                <w:lang w:val="en-US"/>
              </w:rPr>
              <w:t>1/LISH/NV a</w:t>
            </w:r>
            <w:r w:rsidR="004B45D8">
              <w:rPr>
                <w:rFonts w:ascii="Soberana Sans" w:hAnsi="Soberana Sans"/>
                <w:b/>
                <w:szCs w:val="18"/>
                <w:lang w:val="en-US"/>
              </w:rPr>
              <w:tab/>
            </w:r>
            <w:r w:rsidR="004B45D8">
              <w:rPr>
                <w:rFonts w:ascii="Soberana Sans" w:hAnsi="Soberana Sans"/>
                <w:szCs w:val="18"/>
                <w:lang w:val="en-US"/>
              </w:rPr>
              <w:t>………………………………………………………………………………………………………………………………………………………………………….</w:t>
            </w:r>
          </w:p>
          <w:p w:rsidR="00765CF0" w:rsidRPr="004A5363" w:rsidRDefault="00765CF0" w:rsidP="00765CF0">
            <w:pPr>
              <w:pStyle w:val="Texto0"/>
              <w:spacing w:line="238" w:lineRule="exact"/>
              <w:ind w:left="1296" w:hanging="1296"/>
              <w:rPr>
                <w:rFonts w:ascii="Soberana Sans" w:hAnsi="Soberana Sans"/>
                <w:szCs w:val="18"/>
                <w:lang w:val="en-US"/>
              </w:rPr>
            </w:pPr>
            <w:r w:rsidRPr="004A5363">
              <w:rPr>
                <w:rFonts w:ascii="Soberana Sans" w:hAnsi="Soberana Sans"/>
                <w:b/>
                <w:szCs w:val="18"/>
                <w:lang w:val="en-US"/>
              </w:rPr>
              <w:t>2/LISH/NV</w:t>
            </w:r>
            <w:r w:rsidRPr="004A5363">
              <w:rPr>
                <w:rFonts w:ascii="Soberana Sans" w:hAnsi="Soberana Sans"/>
                <w:b/>
                <w:szCs w:val="18"/>
                <w:lang w:val="en-US"/>
              </w:rPr>
              <w:tab/>
            </w:r>
            <w:r>
              <w:rPr>
                <w:rFonts w:ascii="Soberana Sans" w:hAnsi="Soberana Sans"/>
                <w:szCs w:val="18"/>
                <w:lang w:val="en-US"/>
              </w:rPr>
              <w:t>………………………………………………………………………………………………………………………………………………………………………….</w:t>
            </w:r>
          </w:p>
          <w:p w:rsidR="00765CF0" w:rsidRPr="004A5363" w:rsidRDefault="00765CF0" w:rsidP="0091486F">
            <w:pPr>
              <w:pStyle w:val="Texto0"/>
              <w:tabs>
                <w:tab w:val="right" w:leader="dot" w:pos="8568"/>
              </w:tabs>
              <w:spacing w:line="238" w:lineRule="exact"/>
              <w:ind w:left="1296" w:hanging="1296"/>
              <w:rPr>
                <w:rFonts w:ascii="Soberana Sans" w:hAnsi="Soberana Sans"/>
                <w:szCs w:val="18"/>
                <w:lang w:val="en-US"/>
              </w:rPr>
            </w:pPr>
          </w:p>
        </w:tc>
      </w:tr>
    </w:tbl>
    <w:p w:rsidR="00765CF0" w:rsidRDefault="00765CF0" w:rsidP="00BE0BCF">
      <w:pPr>
        <w:tabs>
          <w:tab w:val="left" w:pos="7947"/>
        </w:tabs>
        <w:spacing w:after="200" w:line="276" w:lineRule="auto"/>
        <w:rPr>
          <w:rFonts w:ascii="Soberana Sans" w:hAnsi="Soberana Sans" w:cs="Arial"/>
          <w:b/>
          <w:sz w:val="18"/>
          <w:szCs w:val="18"/>
          <w:lang w:val="en-US"/>
        </w:rPr>
      </w:pPr>
      <w:bookmarkStart w:id="0" w:name="_GoBack"/>
      <w:bookmarkEnd w:id="0"/>
      <w:r w:rsidRPr="001A0570">
        <w:rPr>
          <w:rFonts w:ascii="Soberana Sans" w:hAnsi="Soberana Sans"/>
          <w:szCs w:val="18"/>
          <w:lang w:val="en-US"/>
        </w:rPr>
        <w:br w:type="page"/>
      </w:r>
      <w:r w:rsidR="00BE0BCF">
        <w:rPr>
          <w:rFonts w:ascii="Soberana Sans" w:hAnsi="Soberana Sans"/>
          <w:b/>
          <w:szCs w:val="18"/>
          <w:lang w:val="en-US"/>
        </w:rPr>
        <w:lastRenderedPageBreak/>
        <w:tab/>
      </w:r>
    </w:p>
    <w:p w:rsidR="00765CF0" w:rsidRPr="004A5363" w:rsidRDefault="00765CF0" w:rsidP="00765CF0">
      <w:pPr>
        <w:pStyle w:val="Texto0"/>
        <w:spacing w:line="238" w:lineRule="exact"/>
        <w:ind w:firstLine="0"/>
        <w:jc w:val="center"/>
        <w:rPr>
          <w:rFonts w:ascii="Soberana Sans" w:hAnsi="Soberana Sans"/>
          <w:b/>
          <w:szCs w:val="18"/>
        </w:rPr>
      </w:pPr>
      <w:r w:rsidRPr="004A5363">
        <w:rPr>
          <w:rFonts w:ascii="Soberana Sans" w:hAnsi="Soberana Sans"/>
          <w:b/>
          <w:szCs w:val="18"/>
        </w:rPr>
        <w:t>A. Criterios del CFF</w:t>
      </w:r>
    </w:p>
    <w:p w:rsidR="00765CF0" w:rsidRPr="00E1402B" w:rsidRDefault="00765CF0" w:rsidP="00765CF0">
      <w:pPr>
        <w:pStyle w:val="Texto0"/>
        <w:spacing w:line="238" w:lineRule="exact"/>
        <w:ind w:right="53" w:firstLine="0"/>
        <w:rPr>
          <w:rFonts w:ascii="Soberana Sans" w:hAnsi="Soberana Sans"/>
          <w:szCs w:val="18"/>
        </w:rPr>
      </w:pPr>
      <w:r w:rsidRPr="004A5363">
        <w:rPr>
          <w:rFonts w:ascii="Soberana Sans" w:hAnsi="Soberana Sans"/>
          <w:b/>
          <w:szCs w:val="18"/>
        </w:rPr>
        <w:t>1/CFF/NV</w:t>
      </w:r>
      <w:r w:rsidRPr="004A5363">
        <w:rPr>
          <w:rFonts w:ascii="Soberana Sans" w:hAnsi="Soberana Sans"/>
          <w:szCs w:val="18"/>
        </w:rPr>
        <w:tab/>
        <w:t>…………………………………………………………………………………………………………</w:t>
      </w:r>
      <w:r>
        <w:rPr>
          <w:rFonts w:ascii="Soberana Sans" w:hAnsi="Soberana Sans"/>
          <w:szCs w:val="18"/>
        </w:rPr>
        <w:t>………………………………………………………………</w:t>
      </w:r>
    </w:p>
    <w:p w:rsidR="00765CF0" w:rsidRDefault="00765CF0" w:rsidP="00765CF0">
      <w:pPr>
        <w:pStyle w:val="Texto0"/>
        <w:spacing w:line="238" w:lineRule="exact"/>
        <w:ind w:firstLine="0"/>
        <w:jc w:val="center"/>
        <w:rPr>
          <w:rFonts w:ascii="Soberana Sans" w:hAnsi="Soberana Sans"/>
          <w:b/>
          <w:szCs w:val="18"/>
        </w:rPr>
      </w:pPr>
    </w:p>
    <w:p w:rsidR="00765CF0" w:rsidRPr="004A5363" w:rsidRDefault="00765CF0" w:rsidP="00765CF0">
      <w:pPr>
        <w:pStyle w:val="Texto0"/>
        <w:spacing w:line="238" w:lineRule="exact"/>
        <w:ind w:firstLine="0"/>
        <w:jc w:val="center"/>
        <w:rPr>
          <w:rFonts w:ascii="Soberana Sans" w:hAnsi="Soberana Sans"/>
          <w:szCs w:val="18"/>
        </w:rPr>
      </w:pPr>
      <w:r w:rsidRPr="004A5363">
        <w:rPr>
          <w:rFonts w:ascii="Soberana Sans" w:hAnsi="Soberana Sans"/>
          <w:b/>
          <w:szCs w:val="18"/>
        </w:rPr>
        <w:t>B. Criterios de la Ley del ISR</w:t>
      </w:r>
    </w:p>
    <w:p w:rsidR="00765CF0" w:rsidRPr="004F0FDC" w:rsidRDefault="00765CF0" w:rsidP="005F5633">
      <w:pPr>
        <w:pStyle w:val="Texto0"/>
        <w:spacing w:line="238" w:lineRule="exact"/>
        <w:ind w:left="1276" w:hanging="1276"/>
        <w:rPr>
          <w:rFonts w:ascii="Soberana Sans" w:hAnsi="Soberana Sans"/>
          <w:szCs w:val="18"/>
          <w:lang w:val="pt-BR"/>
        </w:rPr>
      </w:pPr>
      <w:r w:rsidRPr="004F0FDC">
        <w:rPr>
          <w:rFonts w:ascii="Soberana Sans" w:hAnsi="Soberana Sans"/>
          <w:b/>
          <w:szCs w:val="18"/>
          <w:lang w:val="pt-BR"/>
        </w:rPr>
        <w:t>1/ISR/NV a</w:t>
      </w:r>
      <w:r w:rsidR="004B45D8" w:rsidRPr="004F0FDC">
        <w:rPr>
          <w:rFonts w:ascii="Soberana Sans" w:hAnsi="Soberana Sans"/>
          <w:szCs w:val="18"/>
          <w:lang w:val="pt-BR"/>
        </w:rPr>
        <w:tab/>
        <w:t>……………………………………………………………………………………………………………………………………………………………………</w:t>
      </w:r>
      <w:proofErr w:type="gramStart"/>
      <w:r w:rsidR="004B45D8" w:rsidRPr="004F0FDC">
        <w:rPr>
          <w:rFonts w:ascii="Soberana Sans" w:hAnsi="Soberana Sans"/>
          <w:szCs w:val="18"/>
          <w:lang w:val="pt-BR"/>
        </w:rPr>
        <w:t>…</w:t>
      </w:r>
      <w:r w:rsidR="005F5633" w:rsidRPr="004F0FDC">
        <w:rPr>
          <w:rFonts w:ascii="Soberana Sans" w:hAnsi="Soberana Sans"/>
          <w:szCs w:val="18"/>
          <w:lang w:val="pt-BR"/>
        </w:rPr>
        <w:t>….</w:t>
      </w:r>
      <w:proofErr w:type="gramEnd"/>
      <w:r w:rsidR="004B45D8" w:rsidRPr="004F0FDC">
        <w:rPr>
          <w:rFonts w:ascii="Soberana Sans" w:hAnsi="Soberana Sans"/>
          <w:szCs w:val="18"/>
          <w:lang w:val="pt-BR"/>
        </w:rPr>
        <w:t>….</w:t>
      </w:r>
    </w:p>
    <w:p w:rsidR="00403C2F" w:rsidRPr="004F0FDC" w:rsidRDefault="00174223" w:rsidP="005F5633">
      <w:pPr>
        <w:pStyle w:val="Texto0"/>
        <w:spacing w:after="0" w:line="360" w:lineRule="auto"/>
        <w:ind w:left="1276" w:hanging="1276"/>
        <w:rPr>
          <w:rFonts w:ascii="Soberana Sans" w:hAnsi="Soberana Sans"/>
          <w:szCs w:val="18"/>
          <w:lang w:val="pt-BR"/>
        </w:rPr>
      </w:pPr>
      <w:r w:rsidRPr="004F0FDC">
        <w:rPr>
          <w:rFonts w:ascii="Soberana Sans" w:hAnsi="Soberana Sans"/>
          <w:b/>
          <w:szCs w:val="18"/>
          <w:lang w:val="pt-BR"/>
        </w:rPr>
        <w:t>35</w:t>
      </w:r>
      <w:r w:rsidR="00403C2F" w:rsidRPr="004F0FDC">
        <w:rPr>
          <w:rFonts w:ascii="Soberana Sans" w:hAnsi="Soberana Sans"/>
          <w:b/>
          <w:szCs w:val="18"/>
          <w:lang w:val="pt-BR"/>
        </w:rPr>
        <w:t>/ISR/NV</w:t>
      </w:r>
      <w:r w:rsidR="00403C2F" w:rsidRPr="004F0FDC">
        <w:rPr>
          <w:rFonts w:ascii="Soberana Sans" w:hAnsi="Soberana Sans"/>
          <w:szCs w:val="18"/>
          <w:lang w:val="pt-BR"/>
        </w:rPr>
        <w:tab/>
      </w:r>
      <w:r w:rsidR="005F5633" w:rsidRPr="004F0FDC">
        <w:rPr>
          <w:rFonts w:ascii="Soberana Sans" w:hAnsi="Soberana Sans"/>
          <w:szCs w:val="18"/>
          <w:lang w:val="pt-BR"/>
        </w:rPr>
        <w:t>………………………………………………………………………………………………………………………………………………………………………</w:t>
      </w:r>
      <w:proofErr w:type="gramStart"/>
      <w:r w:rsidR="005F5633" w:rsidRPr="004F0FDC">
        <w:rPr>
          <w:rFonts w:ascii="Soberana Sans" w:hAnsi="Soberana Sans"/>
          <w:szCs w:val="18"/>
          <w:lang w:val="pt-BR"/>
        </w:rPr>
        <w:t>…….</w:t>
      </w:r>
      <w:proofErr w:type="gramEnd"/>
      <w:r w:rsidR="005F5633" w:rsidRPr="004F0FDC">
        <w:rPr>
          <w:rFonts w:ascii="Soberana Sans" w:hAnsi="Soberana Sans"/>
          <w:szCs w:val="18"/>
          <w:lang w:val="pt-BR"/>
        </w:rPr>
        <w:t>.</w:t>
      </w:r>
    </w:p>
    <w:p w:rsidR="005F5633" w:rsidRPr="005064E6" w:rsidRDefault="005D64FF" w:rsidP="005F5633">
      <w:pPr>
        <w:pStyle w:val="Texto0"/>
        <w:spacing w:after="0" w:line="240" w:lineRule="auto"/>
        <w:ind w:left="1276" w:hanging="1276"/>
        <w:rPr>
          <w:rFonts w:ascii="Soberana Sans" w:hAnsi="Soberana Sans"/>
          <w:b/>
          <w:szCs w:val="18"/>
        </w:rPr>
      </w:pPr>
      <w:r>
        <w:rPr>
          <w:rFonts w:ascii="Soberana Sans" w:hAnsi="Soberana Sans"/>
          <w:b/>
          <w:szCs w:val="18"/>
        </w:rPr>
        <w:t>36</w:t>
      </w:r>
      <w:r w:rsidR="005F5633">
        <w:rPr>
          <w:rFonts w:ascii="Soberana Sans" w:hAnsi="Soberana Sans"/>
          <w:b/>
          <w:szCs w:val="18"/>
        </w:rPr>
        <w:t>/ISR/NV</w:t>
      </w:r>
      <w:r w:rsidR="005F5633" w:rsidRPr="004A5363">
        <w:rPr>
          <w:rFonts w:ascii="Soberana Sans" w:hAnsi="Soberana Sans"/>
          <w:szCs w:val="18"/>
        </w:rPr>
        <w:tab/>
      </w:r>
      <w:r w:rsidR="005F5633" w:rsidRPr="00A36E22">
        <w:rPr>
          <w:rFonts w:ascii="Soberana Sans" w:hAnsi="Soberana Sans"/>
          <w:b/>
          <w:bCs/>
        </w:rPr>
        <w:t>Ingresos obtenidos por residentes en el extranj</w:t>
      </w:r>
      <w:r w:rsidR="005F5633">
        <w:rPr>
          <w:rFonts w:ascii="Soberana Sans" w:hAnsi="Soberana Sans"/>
          <w:b/>
          <w:bCs/>
        </w:rPr>
        <w:t>ero, por arrendamiento o fletam</w:t>
      </w:r>
      <w:r w:rsidR="005F5633" w:rsidRPr="00A36E22">
        <w:rPr>
          <w:rFonts w:ascii="Soberana Sans" w:hAnsi="Soberana Sans"/>
          <w:b/>
          <w:bCs/>
        </w:rPr>
        <w:t>ento de embarcaciones o artefactos navales a casco desnudo, con fuente de</w:t>
      </w:r>
      <w:r w:rsidR="005F5633">
        <w:rPr>
          <w:rFonts w:ascii="Soberana Sans" w:hAnsi="Soberana Sans"/>
          <w:b/>
          <w:bCs/>
        </w:rPr>
        <w:t xml:space="preserve"> riqueza en territorio nacional</w:t>
      </w:r>
      <w:r w:rsidR="00BF2680">
        <w:rPr>
          <w:rFonts w:ascii="Soberana Sans" w:hAnsi="Soberana Sans"/>
          <w:b/>
          <w:bCs/>
        </w:rPr>
        <w:t>.</w:t>
      </w:r>
    </w:p>
    <w:p w:rsidR="005F5633" w:rsidRDefault="005F5633" w:rsidP="005F5633">
      <w:pPr>
        <w:pStyle w:val="Texto0"/>
        <w:spacing w:after="0" w:line="240" w:lineRule="auto"/>
        <w:ind w:firstLine="0"/>
        <w:rPr>
          <w:rFonts w:ascii="Soberana Sans" w:hAnsi="Soberana Sans"/>
          <w:szCs w:val="18"/>
        </w:rPr>
      </w:pP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r w:rsidRPr="00F405C4">
        <w:rPr>
          <w:rFonts w:ascii="Soberana Sans" w:eastAsia="Calibri" w:hAnsi="Soberana Sans" w:cs="SoberanaSans-Regular"/>
          <w:color w:val="000000"/>
          <w:sz w:val="18"/>
          <w:szCs w:val="18"/>
        </w:rPr>
        <w:t>El artículo 167, primer párrafo de la Ley del ISR establece que tratándose de ingresos por regalías se considerará que la fuente de riqueza se encuentra en territorio nacional cuando los bienes o derechos por los cuales se pagan las regalías se aprovechen en México o cuando se paguen las mismas por un residente en territorio nacional o por un residente en el extranjero con establecimiento permanente en el país.</w:t>
      </w: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r w:rsidRPr="00F405C4">
        <w:rPr>
          <w:rFonts w:ascii="Soberana Sans" w:eastAsia="Calibri" w:hAnsi="Soberana Sans" w:cs="SoberanaSans-Regular"/>
          <w:color w:val="000000"/>
          <w:sz w:val="18"/>
          <w:szCs w:val="18"/>
        </w:rPr>
        <w:t>El penúltimo párrafo del citado artículo señala que las personas que deban hacer pagos por el concepto referido, están obligadas a efectuar la retención que corresponda.</w:t>
      </w: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r w:rsidRPr="00F405C4">
        <w:rPr>
          <w:rFonts w:ascii="Soberana Sans" w:eastAsia="Calibri" w:hAnsi="Soberana Sans" w:cs="SoberanaSans-Regular"/>
          <w:color w:val="000000"/>
          <w:sz w:val="18"/>
          <w:szCs w:val="18"/>
        </w:rPr>
        <w:t>El artículo 15-B, primer párrafo</w:t>
      </w:r>
      <w:r w:rsidRPr="00F405C4">
        <w:rPr>
          <w:rFonts w:ascii="Soberana Sans" w:eastAsia="Calibri" w:hAnsi="Soberana Sans" w:cs="SoberanaSans-Regular"/>
          <w:color w:val="FF0101"/>
          <w:sz w:val="18"/>
          <w:szCs w:val="18"/>
        </w:rPr>
        <w:t xml:space="preserve"> </w:t>
      </w:r>
      <w:r w:rsidRPr="00F405C4">
        <w:rPr>
          <w:rFonts w:ascii="Soberana Sans" w:eastAsia="Calibri" w:hAnsi="Soberana Sans" w:cs="SoberanaSans-Regular"/>
          <w:color w:val="000000"/>
          <w:sz w:val="18"/>
          <w:szCs w:val="18"/>
        </w:rPr>
        <w:t xml:space="preserve">del CFF señala que se considerarán regalías, entre otros, los pagos de cualquier clase por el uso o goce temporal de equipos industriales, comerciales o científicos. </w:t>
      </w: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r w:rsidRPr="00F405C4">
        <w:rPr>
          <w:rFonts w:ascii="Soberana Sans" w:eastAsia="Calibri" w:hAnsi="Soberana Sans" w:cs="SoberanaSans-Regular"/>
          <w:color w:val="000000"/>
          <w:sz w:val="18"/>
          <w:szCs w:val="18"/>
        </w:rPr>
        <w:t>De esta forma, los ingresos por el arrendamiento de embarcaciones o artefactos navales a casco desnudo relacionados con las actividades de exploración o extracción de hidrocarburos a que se refiere el artículo 4, fracciones XIV y XV de la Ley de Hidrocarburos, derivan del otorgamiento del uso o goce temporal de los equipos referidos en el artículo 15-B, primer párrafo</w:t>
      </w:r>
      <w:r w:rsidRPr="00F405C4">
        <w:rPr>
          <w:rFonts w:ascii="Soberana Sans" w:eastAsia="Calibri" w:hAnsi="Soberana Sans" w:cs="SoberanaSans-Regular"/>
          <w:color w:val="FF0101"/>
          <w:sz w:val="18"/>
          <w:szCs w:val="18"/>
        </w:rPr>
        <w:t xml:space="preserve"> </w:t>
      </w:r>
      <w:r w:rsidRPr="00F405C4">
        <w:rPr>
          <w:rFonts w:ascii="Soberana Sans" w:eastAsia="Calibri" w:hAnsi="Soberana Sans" w:cs="SoberanaSans-Regular"/>
          <w:color w:val="000000"/>
          <w:sz w:val="18"/>
          <w:szCs w:val="18"/>
        </w:rPr>
        <w:t xml:space="preserve">del CFF y tienen fuente de riqueza en territorio nacional cuando dichas embarcaciones o artefactos se aprovechan en México. También existe fuente de riqueza en territorio nacional, cuando quien realice el pago por dicho concepto, sea un residente en territorio nacional o un residente en el extranjero con establecimiento permanente en el país. </w:t>
      </w: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r w:rsidRPr="00F405C4">
        <w:rPr>
          <w:rFonts w:ascii="Soberana Sans" w:eastAsia="Calibri" w:hAnsi="Soberana Sans" w:cs="SoberanaSans-Regular"/>
          <w:color w:val="000000"/>
          <w:sz w:val="18"/>
          <w:szCs w:val="18"/>
        </w:rPr>
        <w:t xml:space="preserve">Al respecto, se ha detectado que algunos contribuyentes que realizan pagos a residentes en el extranjero sin establecimiento permanente en territorio nacional por concepto de arrendamiento o fletamento de embarcaciones o artefactos navales a casco desnudo, relacionados con las actividades de exploración o extracción de hidrocarburos a que se refiere el artículo 4, fracciones XIV y XV de la Ley de Hidrocarburos, consideran que los ingresos derivados de dichas operaciones no están sujetos a una retención del ISR, por considerar que no existe fuente de riqueza en territorio nacional conforme a la Ley del ISR. </w:t>
      </w: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r w:rsidRPr="00F405C4">
        <w:rPr>
          <w:rFonts w:ascii="Soberana Sans" w:eastAsia="Calibri" w:hAnsi="Soberana Sans" w:cs="SoberanaSans-Regular"/>
          <w:color w:val="000000"/>
          <w:sz w:val="18"/>
          <w:szCs w:val="18"/>
        </w:rPr>
        <w:t>Por lo anterior, se considera que realizan una práctica fiscal indebida:</w:t>
      </w:r>
    </w:p>
    <w:p w:rsidR="005F5633" w:rsidRPr="00F405C4" w:rsidRDefault="005F5633" w:rsidP="005F5633">
      <w:pPr>
        <w:autoSpaceDE w:val="0"/>
        <w:autoSpaceDN w:val="0"/>
        <w:adjustRightInd w:val="0"/>
        <w:ind w:left="1276"/>
        <w:jc w:val="both"/>
        <w:rPr>
          <w:rFonts w:ascii="Soberana Sans" w:eastAsia="Calibri" w:hAnsi="Soberana Sans" w:cs="SoberanaSans-Regular"/>
          <w:color w:val="000000"/>
          <w:sz w:val="18"/>
          <w:szCs w:val="18"/>
        </w:rPr>
      </w:pPr>
    </w:p>
    <w:p w:rsidR="005F5633" w:rsidRPr="00F405C4" w:rsidRDefault="005F5633" w:rsidP="005F5633">
      <w:pPr>
        <w:autoSpaceDE w:val="0"/>
        <w:autoSpaceDN w:val="0"/>
        <w:adjustRightInd w:val="0"/>
        <w:ind w:left="1701" w:hanging="425"/>
        <w:contextualSpacing/>
        <w:jc w:val="both"/>
        <w:rPr>
          <w:rFonts w:ascii="Soberana Sans" w:eastAsia="Calibri" w:hAnsi="Soberana Sans"/>
          <w:sz w:val="18"/>
          <w:szCs w:val="18"/>
        </w:rPr>
      </w:pPr>
      <w:r w:rsidRPr="00F405C4">
        <w:rPr>
          <w:rFonts w:ascii="Soberana Sans" w:eastAsia="Calibri" w:hAnsi="Soberana Sans"/>
          <w:b/>
          <w:sz w:val="18"/>
          <w:szCs w:val="18"/>
        </w:rPr>
        <w:t>I.</w:t>
      </w:r>
      <w:r>
        <w:rPr>
          <w:rFonts w:ascii="Soberana Sans" w:eastAsia="Calibri" w:hAnsi="Soberana Sans"/>
          <w:sz w:val="18"/>
          <w:szCs w:val="18"/>
        </w:rPr>
        <w:tab/>
      </w:r>
      <w:r w:rsidRPr="00F405C4">
        <w:rPr>
          <w:rFonts w:ascii="Soberana Sans" w:eastAsia="Calibri" w:hAnsi="Soberana Sans"/>
          <w:sz w:val="18"/>
          <w:szCs w:val="18"/>
        </w:rPr>
        <w:t>Quienes, de conformidad con la Ley del ISR, no efectúen la retención y el entero de dicho impuesto correspondiente a los pagos que realicen a residentes en el extranjero sin establecimiento permanente en territorio nacional, por concepto de arrendamiento o fletamento a casco desnudo, cuando los bienes objeto de éstos sean aprovechados en territorio nacional, o cuando el pago respectivo sea realizado por un residente en territorio nacional o un residente en el extranjero con establecimiento permanente en el país.</w:t>
      </w:r>
    </w:p>
    <w:p w:rsidR="005F5633" w:rsidRPr="00F405C4" w:rsidRDefault="005F5633" w:rsidP="005F5633">
      <w:pPr>
        <w:autoSpaceDE w:val="0"/>
        <w:autoSpaceDN w:val="0"/>
        <w:adjustRightInd w:val="0"/>
        <w:ind w:left="1276"/>
        <w:contextualSpacing/>
        <w:jc w:val="both"/>
        <w:rPr>
          <w:rFonts w:ascii="Soberana Sans" w:eastAsia="Calibri" w:hAnsi="Soberana Sans"/>
          <w:sz w:val="18"/>
          <w:szCs w:val="18"/>
        </w:rPr>
      </w:pPr>
    </w:p>
    <w:p w:rsidR="005F5633" w:rsidRDefault="005F5633" w:rsidP="005F5633">
      <w:pPr>
        <w:pStyle w:val="Prrafodelista"/>
        <w:autoSpaceDE w:val="0"/>
        <w:autoSpaceDN w:val="0"/>
        <w:adjustRightInd w:val="0"/>
        <w:ind w:left="1701" w:hanging="425"/>
        <w:contextualSpacing/>
        <w:jc w:val="both"/>
        <w:rPr>
          <w:rFonts w:ascii="Soberana Sans" w:eastAsia="Calibri" w:hAnsi="Soberana Sans"/>
          <w:sz w:val="18"/>
          <w:szCs w:val="18"/>
        </w:rPr>
      </w:pPr>
      <w:r w:rsidRPr="00F405C4">
        <w:rPr>
          <w:rFonts w:ascii="Soberana Sans" w:eastAsia="Calibri" w:hAnsi="Soberana Sans"/>
          <w:b/>
          <w:sz w:val="18"/>
          <w:szCs w:val="18"/>
        </w:rPr>
        <w:lastRenderedPageBreak/>
        <w:t>II.</w:t>
      </w:r>
      <w:r>
        <w:rPr>
          <w:rFonts w:ascii="Soberana Sans" w:eastAsia="Calibri" w:hAnsi="Soberana Sans"/>
          <w:sz w:val="18"/>
          <w:szCs w:val="18"/>
        </w:rPr>
        <w:tab/>
      </w:r>
      <w:r w:rsidRPr="00F405C4">
        <w:rPr>
          <w:rFonts w:ascii="Soberana Sans" w:eastAsia="Calibri" w:hAnsi="Soberana Sans"/>
          <w:sz w:val="18"/>
          <w:szCs w:val="18"/>
        </w:rPr>
        <w:t>Los residentes en el extranjero sin establecimiento permanente en territorio nacional que, de conformidad con la Ley del ISR, consideren que los ingresos que obtengan por concepto de arrendamiento o fletamento a casco desnudo, no tienen fuente de riqueza en territorio nacional, cuando los bienes objeto de aquéllos sean aprovechados en territorio nacional, o cuando el pago respectivo sea realizado por un residente en territorio nacional o un residente en el extranjero con establecimiento permanente en el país.</w:t>
      </w:r>
    </w:p>
    <w:p w:rsidR="005F5633" w:rsidRPr="00F405C4" w:rsidRDefault="005F5633" w:rsidP="005F5633">
      <w:pPr>
        <w:pStyle w:val="Prrafodelista"/>
        <w:autoSpaceDE w:val="0"/>
        <w:autoSpaceDN w:val="0"/>
        <w:adjustRightInd w:val="0"/>
        <w:ind w:left="1276"/>
        <w:contextualSpacing/>
        <w:jc w:val="both"/>
        <w:rPr>
          <w:rFonts w:ascii="Soberana Sans" w:eastAsia="Calibri" w:hAnsi="Soberana Sans"/>
          <w:sz w:val="18"/>
          <w:szCs w:val="18"/>
        </w:rPr>
      </w:pPr>
    </w:p>
    <w:p w:rsidR="005F5633" w:rsidRPr="00F405C4" w:rsidRDefault="005F5633" w:rsidP="005F5633">
      <w:pPr>
        <w:pStyle w:val="Texto0"/>
        <w:spacing w:after="0" w:line="240" w:lineRule="auto"/>
        <w:ind w:left="1701" w:hanging="425"/>
        <w:rPr>
          <w:rFonts w:ascii="Soberana Sans" w:hAnsi="Soberana Sans"/>
          <w:szCs w:val="18"/>
        </w:rPr>
      </w:pPr>
      <w:r w:rsidRPr="00F405C4">
        <w:rPr>
          <w:rFonts w:ascii="Soberana Sans" w:eastAsia="Calibri" w:hAnsi="Soberana Sans" w:cs="SoberanaSans-Regular"/>
          <w:b/>
          <w:color w:val="000000"/>
          <w:szCs w:val="18"/>
        </w:rPr>
        <w:t>III.</w:t>
      </w:r>
      <w:r>
        <w:rPr>
          <w:rFonts w:ascii="Soberana Sans" w:eastAsia="Calibri" w:hAnsi="Soberana Sans" w:cs="SoberanaSans-Regular"/>
          <w:color w:val="000000"/>
          <w:szCs w:val="18"/>
        </w:rPr>
        <w:tab/>
      </w:r>
      <w:r w:rsidRPr="00F405C4">
        <w:rPr>
          <w:rFonts w:ascii="Soberana Sans" w:eastAsia="Calibri" w:hAnsi="Soberana Sans" w:cs="SoberanaSans-Regular"/>
          <w:color w:val="000000"/>
          <w:szCs w:val="18"/>
        </w:rPr>
        <w:t>Quien asesore, aconseje, preste servicios o participe en la realización o la implementación de las prácticas anteriores.</w:t>
      </w:r>
    </w:p>
    <w:p w:rsidR="00765CF0" w:rsidRDefault="00765CF0" w:rsidP="00765CF0">
      <w:pPr>
        <w:pStyle w:val="Texto0"/>
        <w:spacing w:after="0" w:line="240" w:lineRule="auto"/>
        <w:ind w:firstLine="0"/>
        <w:rPr>
          <w:rFonts w:ascii="Soberana Sans" w:hAnsi="Soberana Sans"/>
          <w:szCs w:val="18"/>
        </w:rPr>
      </w:pPr>
    </w:p>
    <w:p w:rsidR="005F5633" w:rsidRDefault="005F5633" w:rsidP="00765CF0">
      <w:pPr>
        <w:pStyle w:val="Texto0"/>
        <w:spacing w:after="0" w:line="240" w:lineRule="auto"/>
        <w:ind w:firstLine="0"/>
        <w:rPr>
          <w:rFonts w:ascii="Soberana Sans" w:hAnsi="Soberana Sans"/>
          <w:szCs w:val="18"/>
        </w:rPr>
      </w:pPr>
    </w:p>
    <w:p w:rsidR="00765CF0" w:rsidRPr="004A5363" w:rsidRDefault="00765CF0" w:rsidP="00765CF0">
      <w:pPr>
        <w:pStyle w:val="Texto0"/>
        <w:spacing w:line="238" w:lineRule="exact"/>
        <w:ind w:left="990" w:hanging="990"/>
        <w:jc w:val="center"/>
        <w:rPr>
          <w:rFonts w:ascii="Soberana Sans" w:hAnsi="Soberana Sans"/>
          <w:b/>
          <w:szCs w:val="18"/>
        </w:rPr>
      </w:pPr>
      <w:r w:rsidRPr="004A5363">
        <w:rPr>
          <w:rFonts w:ascii="Soberana Sans" w:hAnsi="Soberana Sans"/>
          <w:b/>
          <w:szCs w:val="18"/>
        </w:rPr>
        <w:t>C. Criterios de la Ley del IVA</w:t>
      </w:r>
    </w:p>
    <w:p w:rsidR="00765CF0" w:rsidRPr="004B45D8" w:rsidRDefault="00765CF0" w:rsidP="004B45D8">
      <w:pPr>
        <w:pStyle w:val="Texto0"/>
        <w:spacing w:line="238" w:lineRule="exact"/>
        <w:ind w:left="1418" w:hanging="1418"/>
        <w:rPr>
          <w:rFonts w:ascii="Soberana Sans" w:hAnsi="Soberana Sans"/>
          <w:szCs w:val="18"/>
          <w:lang w:val="pt-BR"/>
        </w:rPr>
      </w:pPr>
      <w:r w:rsidRPr="00AE694E">
        <w:rPr>
          <w:rFonts w:ascii="Soberana Sans" w:hAnsi="Soberana Sans"/>
          <w:b/>
          <w:szCs w:val="18"/>
          <w:lang w:val="pt-BR"/>
        </w:rPr>
        <w:t>1/IVA/NV a</w:t>
      </w:r>
      <w:r w:rsidR="004B45D8">
        <w:rPr>
          <w:rFonts w:ascii="Soberana Sans" w:hAnsi="Soberana Sans"/>
          <w:b/>
          <w:szCs w:val="18"/>
          <w:lang w:val="pt-BR"/>
        </w:rPr>
        <w:tab/>
      </w:r>
      <w:r w:rsidR="004B45D8">
        <w:rPr>
          <w:rFonts w:ascii="Soberana Sans" w:hAnsi="Soberana Sans"/>
          <w:szCs w:val="18"/>
          <w:lang w:val="pt-BR"/>
        </w:rPr>
        <w:t>....................................................................................................................................................................................</w:t>
      </w:r>
    </w:p>
    <w:p w:rsidR="00765CF0" w:rsidRPr="00793398" w:rsidRDefault="00765CF0" w:rsidP="00765CF0">
      <w:pPr>
        <w:pStyle w:val="Texto0"/>
        <w:spacing w:line="238" w:lineRule="exact"/>
        <w:ind w:left="1296" w:hanging="1296"/>
        <w:rPr>
          <w:rFonts w:ascii="Soberana Sans" w:hAnsi="Soberana Sans"/>
          <w:szCs w:val="18"/>
          <w:lang w:val="pt-BR"/>
        </w:rPr>
      </w:pPr>
      <w:r w:rsidRPr="00AE694E">
        <w:rPr>
          <w:rFonts w:ascii="Soberana Sans" w:hAnsi="Soberana Sans"/>
          <w:b/>
          <w:szCs w:val="18"/>
          <w:lang w:val="pt-BR"/>
        </w:rPr>
        <w:t>9/IVA/NV</w:t>
      </w:r>
      <w:r w:rsidRPr="00AE694E">
        <w:rPr>
          <w:rFonts w:ascii="Soberana Sans" w:hAnsi="Soberana Sans"/>
          <w:b/>
          <w:szCs w:val="18"/>
          <w:lang w:val="pt-BR"/>
        </w:rPr>
        <w:tab/>
      </w:r>
      <w:r w:rsidRPr="004F0FDC">
        <w:rPr>
          <w:rFonts w:ascii="Soberana Sans" w:hAnsi="Soberana Sans"/>
          <w:szCs w:val="18"/>
          <w:lang w:val="pt-BR"/>
        </w:rPr>
        <w:t>…………………………………………………………………………………………………………………………………………………………………………….</w:t>
      </w:r>
    </w:p>
    <w:p w:rsidR="00765CF0" w:rsidRPr="004F0FDC" w:rsidRDefault="00765CF0" w:rsidP="00765CF0">
      <w:pPr>
        <w:pStyle w:val="Texto0"/>
        <w:spacing w:after="0" w:line="240" w:lineRule="auto"/>
        <w:ind w:firstLine="0"/>
        <w:rPr>
          <w:rFonts w:ascii="Soberana Sans" w:hAnsi="Soberana Sans"/>
          <w:szCs w:val="18"/>
          <w:lang w:val="pt-BR"/>
        </w:rPr>
      </w:pPr>
    </w:p>
    <w:p w:rsidR="00765CF0" w:rsidRPr="004A5363" w:rsidRDefault="00765CF0" w:rsidP="00765CF0">
      <w:pPr>
        <w:pStyle w:val="Texto0"/>
        <w:spacing w:line="238" w:lineRule="exact"/>
        <w:ind w:firstLine="0"/>
        <w:jc w:val="center"/>
        <w:rPr>
          <w:rFonts w:ascii="Soberana Sans" w:hAnsi="Soberana Sans"/>
          <w:b/>
          <w:szCs w:val="18"/>
        </w:rPr>
      </w:pPr>
      <w:r w:rsidRPr="004A5363">
        <w:rPr>
          <w:rFonts w:ascii="Soberana Sans" w:hAnsi="Soberana Sans"/>
          <w:b/>
          <w:szCs w:val="18"/>
        </w:rPr>
        <w:t>D. Criterios de la Ley del IEPS</w:t>
      </w:r>
    </w:p>
    <w:p w:rsidR="00765CF0" w:rsidRPr="004B45D8" w:rsidRDefault="00765CF0" w:rsidP="00765CF0">
      <w:pPr>
        <w:pStyle w:val="Texto0"/>
        <w:spacing w:line="238" w:lineRule="exact"/>
        <w:ind w:firstLine="0"/>
        <w:rPr>
          <w:rFonts w:ascii="Soberana Sans" w:hAnsi="Soberana Sans"/>
          <w:szCs w:val="18"/>
          <w:lang w:val="en-US"/>
        </w:rPr>
      </w:pPr>
      <w:r w:rsidRPr="004A5363">
        <w:rPr>
          <w:rFonts w:ascii="Soberana Sans" w:hAnsi="Soberana Sans"/>
          <w:b/>
          <w:szCs w:val="18"/>
          <w:lang w:val="en-US"/>
        </w:rPr>
        <w:t>1/IEPS/NV a</w:t>
      </w:r>
      <w:r w:rsidR="004B45D8">
        <w:rPr>
          <w:rFonts w:ascii="Soberana Sans" w:hAnsi="Soberana Sans"/>
          <w:b/>
          <w:szCs w:val="18"/>
          <w:lang w:val="en-US"/>
        </w:rPr>
        <w:tab/>
      </w:r>
      <w:r w:rsidR="004B45D8">
        <w:rPr>
          <w:rFonts w:ascii="Soberana Sans" w:hAnsi="Soberana Sans"/>
          <w:szCs w:val="18"/>
          <w:lang w:val="en-US"/>
        </w:rPr>
        <w:t>…………………………………………………………………………………………………………………………………………………………………………</w:t>
      </w:r>
    </w:p>
    <w:p w:rsidR="00765CF0" w:rsidRPr="00793398" w:rsidRDefault="00765CF0" w:rsidP="00765CF0">
      <w:pPr>
        <w:pStyle w:val="Texto0"/>
        <w:tabs>
          <w:tab w:val="right" w:leader="dot" w:pos="8789"/>
        </w:tabs>
        <w:spacing w:line="238" w:lineRule="exact"/>
        <w:ind w:left="1296" w:right="49" w:hanging="1296"/>
        <w:rPr>
          <w:rFonts w:ascii="Soberana Sans" w:hAnsi="Soberana Sans"/>
          <w:szCs w:val="18"/>
          <w:lang w:val="en-US"/>
        </w:rPr>
      </w:pPr>
      <w:r>
        <w:rPr>
          <w:rFonts w:ascii="Soberana Sans" w:hAnsi="Soberana Sans"/>
          <w:b/>
          <w:szCs w:val="18"/>
          <w:lang w:val="en-US"/>
        </w:rPr>
        <w:t>5</w:t>
      </w:r>
      <w:r w:rsidRPr="00793398">
        <w:rPr>
          <w:rFonts w:ascii="Soberana Sans" w:hAnsi="Soberana Sans"/>
          <w:b/>
          <w:szCs w:val="18"/>
          <w:lang w:val="en-US"/>
        </w:rPr>
        <w:t>/IEPS/NV</w:t>
      </w:r>
      <w:r w:rsidRPr="00793398">
        <w:rPr>
          <w:rFonts w:ascii="Soberana Sans" w:hAnsi="Soberana Sans"/>
          <w:b/>
          <w:szCs w:val="18"/>
          <w:lang w:val="en-US"/>
        </w:rPr>
        <w:tab/>
      </w:r>
      <w:r>
        <w:rPr>
          <w:rFonts w:ascii="Soberana Sans" w:hAnsi="Soberana Sans"/>
          <w:szCs w:val="18"/>
          <w:lang w:val="en-US"/>
        </w:rPr>
        <w:t>……………………………………………………………………………………………………………………………………………………………………………</w:t>
      </w:r>
    </w:p>
    <w:p w:rsidR="00765CF0" w:rsidRPr="004F0FDC" w:rsidRDefault="00765CF0" w:rsidP="00765CF0">
      <w:pPr>
        <w:pStyle w:val="Texto0"/>
        <w:spacing w:line="238" w:lineRule="exact"/>
        <w:ind w:firstLine="0"/>
        <w:jc w:val="center"/>
        <w:rPr>
          <w:rFonts w:ascii="Soberana Sans" w:hAnsi="Soberana Sans"/>
          <w:b/>
          <w:szCs w:val="18"/>
          <w:lang w:val="pt-BR"/>
        </w:rPr>
      </w:pPr>
    </w:p>
    <w:p w:rsidR="00765CF0" w:rsidRDefault="00765CF0" w:rsidP="00765CF0">
      <w:pPr>
        <w:pStyle w:val="Texto0"/>
        <w:spacing w:line="238" w:lineRule="exact"/>
        <w:ind w:firstLine="0"/>
        <w:jc w:val="center"/>
        <w:rPr>
          <w:rFonts w:ascii="Soberana Sans" w:hAnsi="Soberana Sans"/>
          <w:b/>
          <w:szCs w:val="18"/>
        </w:rPr>
      </w:pPr>
      <w:r w:rsidRPr="004A5363">
        <w:rPr>
          <w:rFonts w:ascii="Soberana Sans" w:hAnsi="Soberana Sans"/>
          <w:b/>
          <w:szCs w:val="18"/>
        </w:rPr>
        <w:t>E. Criterios de la Ley de los Impuestos Generales de Importación y Exportación</w:t>
      </w:r>
    </w:p>
    <w:p w:rsidR="00765CF0" w:rsidRPr="004A5363" w:rsidRDefault="00765CF0" w:rsidP="00765CF0">
      <w:pPr>
        <w:pStyle w:val="Texto0"/>
        <w:spacing w:line="238" w:lineRule="exact"/>
        <w:ind w:firstLine="0"/>
        <w:jc w:val="center"/>
        <w:rPr>
          <w:rFonts w:ascii="Soberana Sans" w:hAnsi="Soberana Sans"/>
          <w:b/>
          <w:szCs w:val="18"/>
        </w:rPr>
      </w:pPr>
    </w:p>
    <w:p w:rsidR="00765CF0" w:rsidRPr="004A5363" w:rsidRDefault="00765CF0" w:rsidP="00765CF0">
      <w:pPr>
        <w:pStyle w:val="Texto0"/>
        <w:spacing w:line="238" w:lineRule="exact"/>
        <w:ind w:left="1296" w:hanging="1296"/>
        <w:rPr>
          <w:rFonts w:ascii="Soberana Sans" w:hAnsi="Soberana Sans"/>
          <w:szCs w:val="18"/>
        </w:rPr>
      </w:pPr>
      <w:r w:rsidRPr="004A5363">
        <w:rPr>
          <w:rFonts w:ascii="Soberana Sans" w:hAnsi="Soberana Sans"/>
          <w:b/>
          <w:szCs w:val="18"/>
        </w:rPr>
        <w:t>1/LIGIE/NV</w:t>
      </w:r>
      <w:r>
        <w:rPr>
          <w:rFonts w:ascii="Soberana Sans" w:hAnsi="Soberana Sans"/>
          <w:szCs w:val="18"/>
        </w:rPr>
        <w:tab/>
        <w:t>.......................................................................................................................................................................................</w:t>
      </w:r>
    </w:p>
    <w:p w:rsidR="00765CF0" w:rsidRDefault="00765CF0" w:rsidP="00765CF0">
      <w:pPr>
        <w:pStyle w:val="Texto0"/>
        <w:spacing w:line="238" w:lineRule="exact"/>
        <w:ind w:firstLine="0"/>
        <w:jc w:val="center"/>
        <w:rPr>
          <w:rFonts w:ascii="Soberana Sans" w:hAnsi="Soberana Sans"/>
          <w:b/>
          <w:szCs w:val="18"/>
        </w:rPr>
      </w:pPr>
    </w:p>
    <w:p w:rsidR="00765CF0" w:rsidRPr="004A5363" w:rsidRDefault="00765CF0" w:rsidP="00765CF0">
      <w:pPr>
        <w:pStyle w:val="Texto0"/>
        <w:spacing w:line="238" w:lineRule="exact"/>
        <w:ind w:firstLine="0"/>
        <w:jc w:val="center"/>
        <w:rPr>
          <w:rFonts w:ascii="Soberana Sans" w:hAnsi="Soberana Sans"/>
          <w:b/>
          <w:szCs w:val="18"/>
        </w:rPr>
      </w:pPr>
      <w:r w:rsidRPr="004A5363">
        <w:rPr>
          <w:rFonts w:ascii="Soberana Sans" w:hAnsi="Soberana Sans"/>
          <w:b/>
          <w:szCs w:val="18"/>
        </w:rPr>
        <w:t>F. Criterios de la LISH</w:t>
      </w:r>
    </w:p>
    <w:p w:rsidR="00765CF0" w:rsidRPr="004B45D8" w:rsidRDefault="00765CF0" w:rsidP="00765CF0">
      <w:pPr>
        <w:pStyle w:val="Texto0"/>
        <w:tabs>
          <w:tab w:val="right" w:leader="dot" w:pos="8568"/>
        </w:tabs>
        <w:spacing w:line="238" w:lineRule="exact"/>
        <w:ind w:left="1296" w:hanging="1296"/>
        <w:rPr>
          <w:rFonts w:ascii="Soberana Sans" w:hAnsi="Soberana Sans"/>
          <w:szCs w:val="18"/>
          <w:lang w:val="en-US"/>
        </w:rPr>
      </w:pPr>
      <w:r w:rsidRPr="004A5363">
        <w:rPr>
          <w:rFonts w:ascii="Soberana Sans" w:hAnsi="Soberana Sans"/>
          <w:b/>
          <w:szCs w:val="18"/>
          <w:lang w:val="en-US"/>
        </w:rPr>
        <w:t>1/LISH/NV a</w:t>
      </w:r>
      <w:r w:rsidR="004B45D8">
        <w:rPr>
          <w:rFonts w:ascii="Soberana Sans" w:hAnsi="Soberana Sans"/>
          <w:b/>
          <w:szCs w:val="18"/>
          <w:lang w:val="en-US"/>
        </w:rPr>
        <w:tab/>
      </w:r>
      <w:r w:rsidR="004B45D8">
        <w:rPr>
          <w:rFonts w:ascii="Soberana Sans" w:hAnsi="Soberana Sans"/>
          <w:szCs w:val="18"/>
          <w:lang w:val="en-US"/>
        </w:rPr>
        <w:t>…………………………………………………………………………………………………………………………………………………………………………….</w:t>
      </w:r>
    </w:p>
    <w:p w:rsidR="00765CF0" w:rsidRDefault="00765CF0" w:rsidP="00765CF0">
      <w:pPr>
        <w:pStyle w:val="Texto0"/>
        <w:tabs>
          <w:tab w:val="right" w:leader="dot" w:pos="8789"/>
        </w:tabs>
        <w:spacing w:line="238" w:lineRule="exact"/>
        <w:ind w:left="1296" w:hanging="1296"/>
        <w:rPr>
          <w:rFonts w:ascii="Soberana Sans" w:hAnsi="Soberana Sans"/>
          <w:szCs w:val="18"/>
          <w:lang w:val="en-US"/>
        </w:rPr>
      </w:pPr>
      <w:r w:rsidRPr="004A5363">
        <w:rPr>
          <w:rFonts w:ascii="Soberana Sans" w:hAnsi="Soberana Sans"/>
          <w:b/>
          <w:szCs w:val="18"/>
          <w:lang w:val="en-US"/>
        </w:rPr>
        <w:t>2/LISH/NV</w:t>
      </w:r>
      <w:r w:rsidRPr="004A5363">
        <w:rPr>
          <w:rFonts w:ascii="Soberana Sans" w:hAnsi="Soberana Sans"/>
          <w:b/>
          <w:szCs w:val="18"/>
          <w:lang w:val="en-US"/>
        </w:rPr>
        <w:tab/>
      </w:r>
      <w:r>
        <w:rPr>
          <w:rFonts w:ascii="Soberana Sans" w:hAnsi="Soberana Sans"/>
          <w:szCs w:val="18"/>
          <w:lang w:val="en-US"/>
        </w:rPr>
        <w:t>…………………………………………………………………………………………………………………………………………………………………………….</w:t>
      </w:r>
    </w:p>
    <w:p w:rsidR="00765CF0" w:rsidRDefault="00765CF0" w:rsidP="00765CF0">
      <w:pPr>
        <w:pStyle w:val="Texto0"/>
        <w:tabs>
          <w:tab w:val="right" w:leader="dot" w:pos="8789"/>
        </w:tabs>
        <w:spacing w:line="238" w:lineRule="exact"/>
        <w:ind w:left="1296" w:hanging="1296"/>
        <w:rPr>
          <w:rFonts w:ascii="Soberana Sans" w:hAnsi="Soberana Sans"/>
          <w:szCs w:val="18"/>
          <w:lang w:val="en-US"/>
        </w:rPr>
      </w:pPr>
    </w:p>
    <w:p w:rsidR="00765CF0" w:rsidRPr="00765CF0" w:rsidRDefault="00765CF0" w:rsidP="00765CF0">
      <w:pPr>
        <w:pStyle w:val="Sangradetextonormal"/>
        <w:ind w:right="-234"/>
        <w:jc w:val="center"/>
        <w:rPr>
          <w:rFonts w:ascii="Soberana Sans" w:hAnsi="Soberana Sans"/>
          <w:sz w:val="18"/>
          <w:szCs w:val="18"/>
        </w:rPr>
      </w:pPr>
    </w:p>
    <w:p w:rsidR="004854F2" w:rsidRDefault="004854F2" w:rsidP="00852170">
      <w:pPr>
        <w:rPr>
          <w:sz w:val="20"/>
          <w:szCs w:val="20"/>
          <w:lang w:val="es-ES"/>
        </w:rPr>
      </w:pPr>
    </w:p>
    <w:p w:rsidR="007A0181" w:rsidRDefault="007A0181" w:rsidP="00852170">
      <w:pPr>
        <w:rPr>
          <w:sz w:val="20"/>
          <w:szCs w:val="20"/>
          <w:lang w:val="es-ES"/>
        </w:rPr>
        <w:sectPr w:rsidR="007A0181" w:rsidSect="009F0978">
          <w:headerReference w:type="default" r:id="rId8"/>
          <w:footerReference w:type="default" r:id="rId9"/>
          <w:pgSz w:w="12240" w:h="15840"/>
          <w:pgMar w:top="1134" w:right="1469" w:bottom="1134" w:left="1418" w:header="426" w:footer="709" w:gutter="0"/>
          <w:cols w:space="708"/>
          <w:docGrid w:linePitch="360"/>
        </w:sectPr>
      </w:pPr>
    </w:p>
    <w:p w:rsidR="00AC1983" w:rsidRPr="006C6BC2" w:rsidRDefault="00AC1983" w:rsidP="00AC1983">
      <w:pPr>
        <w:rPr>
          <w:rFonts w:ascii="Soberana Sans" w:eastAsia="MS Mincho" w:hAnsi="Soberana Sans" w:cs="Arial"/>
          <w:noProof/>
          <w:color w:val="000000"/>
          <w:sz w:val="18"/>
          <w:szCs w:val="18"/>
        </w:rPr>
      </w:pPr>
    </w:p>
    <w:p w:rsidR="00AC1983" w:rsidRPr="006C6BC2" w:rsidRDefault="00AC1983" w:rsidP="00AC1983">
      <w:pPr>
        <w:ind w:left="567" w:hanging="567"/>
        <w:rPr>
          <w:rFonts w:ascii="Soberana Sans" w:eastAsia="MS Mincho" w:hAnsi="Soberana Sans" w:cs="Arial"/>
          <w:noProof/>
          <w:color w:val="000000"/>
          <w:sz w:val="18"/>
          <w:szCs w:val="18"/>
        </w:rPr>
      </w:pPr>
    </w:p>
    <w:p w:rsidR="00AC1983" w:rsidRPr="006C6BC2" w:rsidRDefault="00AC1983" w:rsidP="00AC1983">
      <w:pPr>
        <w:ind w:left="567" w:hanging="567"/>
        <w:rPr>
          <w:rFonts w:ascii="Soberana Sans" w:eastAsia="MS Mincho" w:hAnsi="Soberana Sans" w:cs="Arial"/>
          <w:color w:val="000000"/>
          <w:sz w:val="18"/>
          <w:szCs w:val="18"/>
        </w:rPr>
      </w:pPr>
    </w:p>
    <w:p w:rsidR="00AC1983" w:rsidRPr="006C6BC2" w:rsidRDefault="00AC1983" w:rsidP="00AC1983">
      <w:pPr>
        <w:ind w:left="567" w:hanging="567"/>
        <w:rPr>
          <w:rFonts w:ascii="Soberana Sans" w:eastAsia="MS Mincho" w:hAnsi="Soberana Sans" w:cs="Arial"/>
          <w:color w:val="000000"/>
          <w:sz w:val="18"/>
          <w:szCs w:val="18"/>
        </w:rPr>
      </w:pPr>
    </w:p>
    <w:p w:rsidR="00AC1983" w:rsidRDefault="00AC1983" w:rsidP="00AC1983">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Atentamente.</w:t>
      </w:r>
    </w:p>
    <w:p w:rsidR="00AC1983" w:rsidRPr="00DA78DC" w:rsidRDefault="00AC1983" w:rsidP="00AC1983">
      <w:pPr>
        <w:ind w:left="4536"/>
        <w:rPr>
          <w:rFonts w:ascii="Soberana Sans" w:eastAsia="MS Mincho" w:hAnsi="Soberana Sans" w:cs="Arial"/>
          <w:color w:val="000000"/>
          <w:sz w:val="18"/>
          <w:szCs w:val="18"/>
          <w:lang w:val="es-ES"/>
        </w:rPr>
      </w:pPr>
    </w:p>
    <w:p w:rsidR="00AC1983" w:rsidRDefault="00AC1983" w:rsidP="00AC1983">
      <w:pPr>
        <w:ind w:left="4536"/>
        <w:rPr>
          <w:rFonts w:ascii="Soberana Sans" w:eastAsia="MS Mincho" w:hAnsi="Soberana Sans" w:cs="Arial"/>
          <w:color w:val="000000"/>
          <w:sz w:val="18"/>
          <w:szCs w:val="18"/>
          <w:lang w:val="es-ES"/>
        </w:rPr>
      </w:pPr>
      <w:r w:rsidRPr="00294556">
        <w:rPr>
          <w:rFonts w:ascii="Soberana Sans" w:eastAsia="MS Mincho" w:hAnsi="Soberana Sans" w:cs="Arial"/>
          <w:color w:val="000000"/>
          <w:sz w:val="18"/>
          <w:szCs w:val="18"/>
          <w:lang w:val="es-ES"/>
        </w:rPr>
        <w:t>Ciudad de México</w:t>
      </w:r>
      <w:r w:rsidR="00DD3F72">
        <w:rPr>
          <w:rFonts w:ascii="Soberana Sans" w:eastAsia="MS Mincho" w:hAnsi="Soberana Sans" w:cs="Arial"/>
          <w:color w:val="000000"/>
          <w:sz w:val="18"/>
          <w:szCs w:val="18"/>
          <w:lang w:val="es-ES"/>
        </w:rPr>
        <w:t xml:space="preserve">, </w:t>
      </w:r>
      <w:r w:rsidR="00C75664">
        <w:rPr>
          <w:rFonts w:ascii="Soberana Sans" w:eastAsia="MS Mincho" w:hAnsi="Soberana Sans" w:cs="Arial"/>
          <w:color w:val="000000"/>
          <w:sz w:val="18"/>
          <w:szCs w:val="18"/>
          <w:lang w:val="es-ES"/>
        </w:rPr>
        <w:t>0</w:t>
      </w:r>
      <w:r w:rsidR="004F0FDC">
        <w:rPr>
          <w:rFonts w:ascii="Soberana Sans" w:eastAsia="MS Mincho" w:hAnsi="Soberana Sans" w:cs="Arial"/>
          <w:color w:val="000000"/>
          <w:sz w:val="18"/>
          <w:szCs w:val="18"/>
          <w:lang w:val="es-ES"/>
        </w:rPr>
        <w:t>3</w:t>
      </w:r>
      <w:r w:rsidR="00DD3F72">
        <w:rPr>
          <w:rFonts w:ascii="Soberana Sans" w:eastAsia="MS Mincho" w:hAnsi="Soberana Sans" w:cs="Arial"/>
          <w:color w:val="000000"/>
          <w:sz w:val="18"/>
          <w:szCs w:val="18"/>
          <w:lang w:val="es-ES"/>
        </w:rPr>
        <w:t xml:space="preserve"> </w:t>
      </w:r>
      <w:r w:rsidR="00C75664">
        <w:rPr>
          <w:rFonts w:ascii="Soberana Sans" w:eastAsia="MS Mincho" w:hAnsi="Soberana Sans" w:cs="Arial"/>
          <w:color w:val="000000"/>
          <w:sz w:val="18"/>
          <w:szCs w:val="18"/>
          <w:lang w:val="es-ES"/>
        </w:rPr>
        <w:t>de</w:t>
      </w:r>
      <w:r w:rsidR="00DD3F72">
        <w:rPr>
          <w:rFonts w:ascii="Soberana Sans" w:eastAsia="MS Mincho" w:hAnsi="Soberana Sans" w:cs="Arial"/>
          <w:color w:val="000000"/>
          <w:sz w:val="18"/>
          <w:szCs w:val="18"/>
          <w:lang w:val="es-ES"/>
        </w:rPr>
        <w:t xml:space="preserve"> </w:t>
      </w:r>
      <w:r w:rsidR="004F0FDC">
        <w:rPr>
          <w:rFonts w:ascii="Soberana Sans" w:eastAsia="MS Mincho" w:hAnsi="Soberana Sans" w:cs="Arial"/>
          <w:color w:val="000000"/>
          <w:sz w:val="18"/>
          <w:szCs w:val="18"/>
          <w:lang w:val="es-ES"/>
        </w:rPr>
        <w:t>octubre</w:t>
      </w:r>
      <w:r w:rsidR="00DD3F72">
        <w:rPr>
          <w:rFonts w:ascii="Soberana Sans" w:eastAsia="MS Mincho" w:hAnsi="Soberana Sans" w:cs="Arial"/>
          <w:color w:val="000000"/>
          <w:sz w:val="18"/>
          <w:szCs w:val="18"/>
          <w:lang w:val="es-ES"/>
        </w:rPr>
        <w:t xml:space="preserve"> de</w:t>
      </w:r>
      <w:r w:rsidRPr="00294556">
        <w:rPr>
          <w:rFonts w:ascii="Soberana Sans" w:eastAsia="MS Mincho" w:hAnsi="Soberana Sans" w:cs="Arial"/>
          <w:color w:val="000000"/>
          <w:sz w:val="18"/>
          <w:szCs w:val="18"/>
          <w:lang w:val="es-ES"/>
        </w:rPr>
        <w:t xml:space="preserve"> 201</w:t>
      </w:r>
      <w:r>
        <w:rPr>
          <w:rFonts w:ascii="Soberana Sans" w:eastAsia="MS Mincho" w:hAnsi="Soberana Sans" w:cs="Arial"/>
          <w:color w:val="000000"/>
          <w:sz w:val="18"/>
          <w:szCs w:val="18"/>
          <w:lang w:val="es-ES"/>
        </w:rPr>
        <w:t>7</w:t>
      </w:r>
      <w:r w:rsidRPr="00294556">
        <w:rPr>
          <w:rFonts w:ascii="Soberana Sans" w:eastAsia="MS Mincho" w:hAnsi="Soberana Sans" w:cs="Arial"/>
          <w:color w:val="000000"/>
          <w:sz w:val="18"/>
          <w:szCs w:val="18"/>
          <w:lang w:val="es-ES"/>
        </w:rPr>
        <w:t>.</w:t>
      </w:r>
    </w:p>
    <w:p w:rsidR="00AC1983" w:rsidRPr="00294556"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El Jefe del Servicio de Administración Tributaria.</w:t>
      </w:r>
    </w:p>
    <w:p w:rsidR="00AC1983"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p>
    <w:p w:rsidR="00AC1983" w:rsidRDefault="00AC1983" w:rsidP="00AC1983">
      <w:pPr>
        <w:ind w:left="4536"/>
        <w:rPr>
          <w:rFonts w:ascii="Soberana Sans" w:eastAsia="MS Mincho" w:hAnsi="Soberana Sans" w:cs="Arial"/>
          <w:color w:val="000000"/>
          <w:sz w:val="18"/>
          <w:szCs w:val="18"/>
          <w:lang w:val="es-ES"/>
        </w:rPr>
      </w:pPr>
    </w:p>
    <w:p w:rsidR="00AC1983"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p>
    <w:p w:rsidR="00AC1983" w:rsidRPr="00DA78DC" w:rsidRDefault="00AC1983" w:rsidP="00AC1983">
      <w:pPr>
        <w:ind w:left="4536"/>
        <w:rPr>
          <w:rFonts w:ascii="Soberana Sans" w:eastAsia="MS Mincho" w:hAnsi="Soberana Sans" w:cs="Arial"/>
          <w:color w:val="000000"/>
          <w:sz w:val="18"/>
          <w:szCs w:val="18"/>
          <w:lang w:val="es-ES"/>
        </w:rPr>
      </w:pPr>
    </w:p>
    <w:p w:rsidR="00D44BE0" w:rsidRPr="007A0181" w:rsidRDefault="00AC1983" w:rsidP="00AC1983">
      <w:pPr>
        <w:ind w:left="4536"/>
        <w:rPr>
          <w:sz w:val="18"/>
          <w:szCs w:val="18"/>
          <w:lang w:val="es-ES"/>
        </w:rPr>
      </w:pPr>
      <w:r>
        <w:rPr>
          <w:rFonts w:ascii="Soberana Sans" w:eastAsia="MS Mincho" w:hAnsi="Soberana Sans" w:cs="Arial"/>
          <w:color w:val="000000"/>
          <w:sz w:val="18"/>
          <w:szCs w:val="18"/>
          <w:lang w:val="es-ES"/>
        </w:rPr>
        <w:t>Osvaldo Antonio Santín Quiroz</w:t>
      </w:r>
      <w:r w:rsidRPr="00DA78DC">
        <w:rPr>
          <w:rFonts w:ascii="Soberana Sans" w:eastAsia="MS Mincho" w:hAnsi="Soberana Sans" w:cs="Arial"/>
          <w:color w:val="000000"/>
          <w:sz w:val="18"/>
          <w:szCs w:val="18"/>
          <w:lang w:val="es-ES"/>
        </w:rPr>
        <w:t>.</w:t>
      </w:r>
    </w:p>
    <w:sectPr w:rsidR="00D44BE0" w:rsidRPr="007A0181" w:rsidSect="009F0978">
      <w:headerReference w:type="default" r:id="rId10"/>
      <w:footerReference w:type="default" r:id="rId11"/>
      <w:pgSz w:w="12240" w:h="15840"/>
      <w:pgMar w:top="1134" w:right="1469"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DE" w:rsidRDefault="00A61ADE">
      <w:r>
        <w:separator/>
      </w:r>
    </w:p>
  </w:endnote>
  <w:endnote w:type="continuationSeparator" w:id="0">
    <w:p w:rsidR="00A61ADE" w:rsidRDefault="00A6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SoberanaSans-Regular">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w:hAnsi="Soberana Sans"/>
        <w:sz w:val="18"/>
        <w:szCs w:val="18"/>
      </w:rPr>
      <w:id w:val="-261227305"/>
      <w:docPartObj>
        <w:docPartGallery w:val="Page Numbers (Bottom of Page)"/>
        <w:docPartUnique/>
      </w:docPartObj>
    </w:sdtPr>
    <w:sdtEndPr/>
    <w:sdtContent>
      <w:p w:rsidR="00BE0BCF" w:rsidRDefault="00BE0BCF" w:rsidP="00BE0BCF">
        <w:pPr>
          <w:pStyle w:val="Piedepgina"/>
          <w:jc w:val="right"/>
          <w:rPr>
            <w:rFonts w:ascii="Soberana Sans" w:hAnsi="Soberana Sans"/>
            <w:sz w:val="18"/>
            <w:szCs w:val="18"/>
          </w:rPr>
        </w:pPr>
        <w:r w:rsidRPr="001F20AC">
          <w:rPr>
            <w:rFonts w:ascii="Soberana Sans" w:eastAsia="Calibri" w:hAnsi="Soberana Sans" w:cs="Arial"/>
            <w:sz w:val="18"/>
            <w:szCs w:val="18"/>
            <w:lang w:val="es-ES_tradnl" w:eastAsia="es-ES_tradnl"/>
          </w:rPr>
          <w:t>Nota: El presente documento se da a conocer en la página de Internet del SAT en términos de la regla 1.8.</w:t>
        </w:r>
      </w:p>
      <w:p w:rsidR="007A0181" w:rsidRPr="007A0181" w:rsidRDefault="007A0181">
        <w:pPr>
          <w:pStyle w:val="Piedepgina"/>
          <w:jc w:val="right"/>
          <w:rPr>
            <w:rFonts w:ascii="Soberana Sans" w:hAnsi="Soberana Sans"/>
            <w:sz w:val="18"/>
            <w:szCs w:val="18"/>
          </w:rPr>
        </w:pPr>
        <w:r w:rsidRPr="007A0181">
          <w:rPr>
            <w:rFonts w:ascii="Soberana Sans" w:hAnsi="Soberana Sans"/>
            <w:sz w:val="18"/>
            <w:szCs w:val="18"/>
          </w:rPr>
          <w:fldChar w:fldCharType="begin"/>
        </w:r>
        <w:r w:rsidRPr="007A0181">
          <w:rPr>
            <w:rFonts w:ascii="Soberana Sans" w:hAnsi="Soberana Sans"/>
            <w:sz w:val="18"/>
            <w:szCs w:val="18"/>
          </w:rPr>
          <w:instrText>PAGE   \* MERGEFORMAT</w:instrText>
        </w:r>
        <w:r w:rsidRPr="007A0181">
          <w:rPr>
            <w:rFonts w:ascii="Soberana Sans" w:hAnsi="Soberana Sans"/>
            <w:sz w:val="18"/>
            <w:szCs w:val="18"/>
          </w:rPr>
          <w:fldChar w:fldCharType="separate"/>
        </w:r>
        <w:r w:rsidR="001A0570" w:rsidRPr="001A0570">
          <w:rPr>
            <w:rFonts w:ascii="Soberana Sans" w:hAnsi="Soberana Sans"/>
            <w:noProof/>
            <w:sz w:val="18"/>
            <w:szCs w:val="18"/>
            <w:lang w:val="es-ES"/>
          </w:rPr>
          <w:t>3</w:t>
        </w:r>
        <w:r w:rsidRPr="007A0181">
          <w:rPr>
            <w:rFonts w:ascii="Soberana Sans" w:hAnsi="Soberana Sans"/>
            <w:sz w:val="18"/>
            <w:szCs w:val="18"/>
          </w:rPr>
          <w:fldChar w:fldCharType="end"/>
        </w:r>
      </w:p>
    </w:sdtContent>
  </w:sdt>
  <w:p w:rsidR="007A0181" w:rsidRDefault="007A01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6E" w:rsidRPr="007A0181" w:rsidRDefault="007F616E">
    <w:pPr>
      <w:pStyle w:val="Piedepgina"/>
      <w:jc w:val="right"/>
      <w:rPr>
        <w:rFonts w:ascii="Soberana Sans" w:hAnsi="Soberana Sans"/>
        <w:sz w:val="18"/>
        <w:szCs w:val="18"/>
      </w:rPr>
    </w:pPr>
  </w:p>
  <w:p w:rsidR="007F616E" w:rsidRDefault="007F61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DE" w:rsidRDefault="00A61ADE">
      <w:r>
        <w:separator/>
      </w:r>
    </w:p>
  </w:footnote>
  <w:footnote w:type="continuationSeparator" w:id="0">
    <w:p w:rsidR="00A61ADE" w:rsidRDefault="00A6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20" w:rsidRPr="009F0978" w:rsidRDefault="00CB7E20" w:rsidP="004375BC">
    <w:pPr>
      <w:pStyle w:val="Encabezado"/>
      <w:tabs>
        <w:tab w:val="clear" w:pos="4252"/>
        <w:tab w:val="clear" w:pos="8504"/>
        <w:tab w:val="right" w:pos="9353"/>
      </w:tabs>
      <w:rPr>
        <w:sz w:val="10"/>
        <w:szCs w:val="10"/>
      </w:rPr>
    </w:pPr>
  </w:p>
  <w:p w:rsidR="00CB7E20" w:rsidRPr="009F0978" w:rsidRDefault="00936E67"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56704" behindDoc="0" locked="0" layoutInCell="1" allowOverlap="1" wp14:anchorId="1B66B0BD" wp14:editId="4D96FB15">
          <wp:simplePos x="0" y="0"/>
          <wp:positionH relativeFrom="column">
            <wp:posOffset>0</wp:posOffset>
          </wp:positionH>
          <wp:positionV relativeFrom="paragraph">
            <wp:posOffset>-635</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5BC" w:rsidRDefault="004375BC"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59776" behindDoc="0" locked="0" layoutInCell="1" allowOverlap="1" wp14:anchorId="25143C6D" wp14:editId="145EE782">
          <wp:simplePos x="0" y="0"/>
          <wp:positionH relativeFrom="column">
            <wp:posOffset>4016020</wp:posOffset>
          </wp:positionH>
          <wp:positionV relativeFrom="paragraph">
            <wp:posOffset>6350</wp:posOffset>
          </wp:positionV>
          <wp:extent cx="1904365" cy="3797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Pr="009F0978" w:rsidRDefault="00936E67" w:rsidP="004375BC">
    <w:pPr>
      <w:pStyle w:val="Encabezado"/>
      <w:tabs>
        <w:tab w:val="clear" w:pos="4252"/>
        <w:tab w:val="clear" w:pos="8504"/>
        <w:tab w:val="right" w:pos="9353"/>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83" w:rsidRPr="009F0978" w:rsidRDefault="00AC1983" w:rsidP="004375BC">
    <w:pPr>
      <w:pStyle w:val="Encabezado"/>
      <w:tabs>
        <w:tab w:val="clear" w:pos="4252"/>
        <w:tab w:val="clear" w:pos="8504"/>
        <w:tab w:val="right" w:pos="9353"/>
      </w:tabs>
      <w:rPr>
        <w:sz w:val="10"/>
        <w:szCs w:val="10"/>
      </w:rPr>
    </w:pPr>
  </w:p>
  <w:p w:rsidR="00AC1983" w:rsidRPr="009F0978" w:rsidRDefault="00AC1983"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61824" behindDoc="0" locked="0" layoutInCell="1" allowOverlap="1" wp14:anchorId="1104D5CF" wp14:editId="018B30AF">
          <wp:simplePos x="0" y="0"/>
          <wp:positionH relativeFrom="column">
            <wp:posOffset>0</wp:posOffset>
          </wp:positionH>
          <wp:positionV relativeFrom="paragraph">
            <wp:posOffset>-635</wp:posOffset>
          </wp:positionV>
          <wp:extent cx="2477770" cy="7556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62848" behindDoc="0" locked="0" layoutInCell="1" allowOverlap="1" wp14:anchorId="53D74BD1" wp14:editId="05846B25">
          <wp:simplePos x="0" y="0"/>
          <wp:positionH relativeFrom="column">
            <wp:posOffset>4016020</wp:posOffset>
          </wp:positionH>
          <wp:positionV relativeFrom="paragraph">
            <wp:posOffset>6350</wp:posOffset>
          </wp:positionV>
          <wp:extent cx="1904365" cy="379730"/>
          <wp:effectExtent l="0" t="0" r="63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4375BC">
    <w:pPr>
      <w:pStyle w:val="Encabezado"/>
      <w:tabs>
        <w:tab w:val="clear" w:pos="4252"/>
        <w:tab w:val="clear" w:pos="8504"/>
        <w:tab w:val="right" w:pos="9353"/>
      </w:tabs>
      <w:rPr>
        <w:sz w:val="8"/>
        <w:szCs w:val="8"/>
      </w:rPr>
    </w:pPr>
  </w:p>
  <w:p w:rsidR="00AC1983" w:rsidRDefault="00AC1983" w:rsidP="00AC1983">
    <w:pPr>
      <w:jc w:val="right"/>
      <w:rPr>
        <w:rFonts w:ascii="Soberana Sans" w:hAnsi="Soberana Sans" w:cs="Arial"/>
        <w:sz w:val="18"/>
        <w:szCs w:val="18"/>
      </w:rPr>
    </w:pPr>
    <w:r>
      <w:rPr>
        <w:rFonts w:ascii="Soberana Sans" w:hAnsi="Soberana Sans" w:cs="Arial"/>
        <w:sz w:val="18"/>
        <w:szCs w:val="18"/>
      </w:rPr>
      <w:t>ÚLTIMA PÁ</w:t>
    </w:r>
    <w:r w:rsidRPr="00F66F8D">
      <w:rPr>
        <w:rFonts w:ascii="Soberana Sans" w:hAnsi="Soberana Sans" w:cs="Arial"/>
        <w:sz w:val="18"/>
        <w:szCs w:val="18"/>
      </w:rPr>
      <w:t xml:space="preserve">GINA DEL ANEXO </w:t>
    </w:r>
    <w:r w:rsidR="00DD3F72">
      <w:rPr>
        <w:rFonts w:ascii="Soberana Sans" w:hAnsi="Soberana Sans" w:cs="Arial"/>
        <w:sz w:val="18"/>
        <w:szCs w:val="18"/>
      </w:rPr>
      <w:t>3 DE LA CUART</w:t>
    </w:r>
    <w:r w:rsidR="00DF0B56">
      <w:rPr>
        <w:rFonts w:ascii="Soberana Sans" w:hAnsi="Soberana Sans" w:cs="Arial"/>
        <w:sz w:val="18"/>
        <w:szCs w:val="18"/>
      </w:rPr>
      <w:t>A</w:t>
    </w:r>
    <w:r w:rsidR="00496B69">
      <w:rPr>
        <w:rFonts w:ascii="Soberana Sans" w:hAnsi="Soberana Sans" w:cs="Arial"/>
        <w:sz w:val="18"/>
        <w:szCs w:val="18"/>
      </w:rPr>
      <w:t xml:space="preserve"> RESOLUCIÓN</w:t>
    </w:r>
  </w:p>
  <w:p w:rsidR="00AC1983" w:rsidRPr="006A20D7" w:rsidRDefault="00AC1983" w:rsidP="00AC1983">
    <w:pPr>
      <w:jc w:val="right"/>
      <w:rPr>
        <w:rFonts w:ascii="Soberana Sans" w:hAnsi="Soberana Sans"/>
        <w:sz w:val="18"/>
        <w:szCs w:val="18"/>
      </w:rPr>
    </w:pPr>
    <w:r>
      <w:rPr>
        <w:rFonts w:ascii="Soberana Sans" w:hAnsi="Soberana Sans" w:cs="Arial"/>
        <w:sz w:val="18"/>
        <w:szCs w:val="18"/>
      </w:rPr>
      <w:t>DE MODIFICACIONES A LA RESOLUCIÓN</w:t>
    </w:r>
    <w:r>
      <w:rPr>
        <w:rFonts w:ascii="Soberana Sans" w:hAnsi="Soberana Sans"/>
        <w:sz w:val="18"/>
        <w:szCs w:val="18"/>
      </w:rPr>
      <w:t xml:space="preserve"> MISCELÁNEA FISCAL PARA 2017</w:t>
    </w:r>
  </w:p>
  <w:p w:rsidR="00AC1983" w:rsidRPr="009F0978" w:rsidRDefault="00AC1983" w:rsidP="004375BC">
    <w:pPr>
      <w:pStyle w:val="Encabezado"/>
      <w:tabs>
        <w:tab w:val="clear" w:pos="4252"/>
        <w:tab w:val="clear" w:pos="8504"/>
        <w:tab w:val="right" w:pos="9353"/>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84"/>
    <w:multiLevelType w:val="hybridMultilevel"/>
    <w:tmpl w:val="E72E7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A634A"/>
    <w:multiLevelType w:val="hybridMultilevel"/>
    <w:tmpl w:val="545E123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CF1B91"/>
    <w:multiLevelType w:val="hybridMultilevel"/>
    <w:tmpl w:val="DC4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26981"/>
    <w:multiLevelType w:val="hybridMultilevel"/>
    <w:tmpl w:val="EFE84E4E"/>
    <w:lvl w:ilvl="0" w:tplc="98EAEF1E">
      <w:start w:val="4"/>
      <w:numFmt w:val="decimal"/>
      <w:lvlText w:val="%1."/>
      <w:lvlJc w:val="left"/>
      <w:pPr>
        <w:tabs>
          <w:tab w:val="num" w:pos="1564"/>
        </w:tabs>
        <w:ind w:left="1564" w:hanging="795"/>
      </w:pPr>
      <w:rPr>
        <w:rFonts w:hint="default"/>
        <w:b/>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4" w15:restartNumberingAfterBreak="0">
    <w:nsid w:val="136B2DB8"/>
    <w:multiLevelType w:val="hybridMultilevel"/>
    <w:tmpl w:val="524A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F5B8B"/>
    <w:multiLevelType w:val="hybridMultilevel"/>
    <w:tmpl w:val="C8201022"/>
    <w:lvl w:ilvl="0" w:tplc="B2B0B4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641753D"/>
    <w:multiLevelType w:val="hybridMultilevel"/>
    <w:tmpl w:val="4218F31E"/>
    <w:lvl w:ilvl="0" w:tplc="0DF4AA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C7501"/>
    <w:multiLevelType w:val="hybridMultilevel"/>
    <w:tmpl w:val="F296F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13D2C"/>
    <w:multiLevelType w:val="hybridMultilevel"/>
    <w:tmpl w:val="745C62D0"/>
    <w:lvl w:ilvl="0" w:tplc="A2B8F6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E126F0A"/>
    <w:multiLevelType w:val="hybridMultilevel"/>
    <w:tmpl w:val="4858E4F2"/>
    <w:lvl w:ilvl="0" w:tplc="C8367B0E">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A8095E"/>
    <w:multiLevelType w:val="hybridMultilevel"/>
    <w:tmpl w:val="1E5C263A"/>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1" w15:restartNumberingAfterBreak="0">
    <w:nsid w:val="489F48E7"/>
    <w:multiLevelType w:val="hybridMultilevel"/>
    <w:tmpl w:val="143CB702"/>
    <w:lvl w:ilvl="0" w:tplc="080A000F">
      <w:start w:val="1"/>
      <w:numFmt w:val="decimal"/>
      <w:lvlText w:val="%1."/>
      <w:lvlJc w:val="left"/>
      <w:pPr>
        <w:ind w:left="1998" w:hanging="360"/>
      </w:pPr>
      <w:rPr>
        <w:rFonts w:hint="default"/>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12" w15:restartNumberingAfterBreak="0">
    <w:nsid w:val="48E535C6"/>
    <w:multiLevelType w:val="hybridMultilevel"/>
    <w:tmpl w:val="AD1EC722"/>
    <w:lvl w:ilvl="0" w:tplc="72C469D6">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2F5441F"/>
    <w:multiLevelType w:val="hybridMultilevel"/>
    <w:tmpl w:val="35AA44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54806F4B"/>
    <w:multiLevelType w:val="hybridMultilevel"/>
    <w:tmpl w:val="A5F66F98"/>
    <w:lvl w:ilvl="0" w:tplc="B8E82F9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4569DC"/>
    <w:multiLevelType w:val="hybridMultilevel"/>
    <w:tmpl w:val="57A6FD28"/>
    <w:lvl w:ilvl="0" w:tplc="F9CC8F0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7F1FF8"/>
    <w:multiLevelType w:val="hybridMultilevel"/>
    <w:tmpl w:val="248C745A"/>
    <w:lvl w:ilvl="0" w:tplc="1EE0D20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AFA7DD1"/>
    <w:multiLevelType w:val="hybridMultilevel"/>
    <w:tmpl w:val="260C19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61E72369"/>
    <w:multiLevelType w:val="hybridMultilevel"/>
    <w:tmpl w:val="4CB6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584665"/>
    <w:multiLevelType w:val="hybridMultilevel"/>
    <w:tmpl w:val="8A22A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9A729A"/>
    <w:multiLevelType w:val="hybridMultilevel"/>
    <w:tmpl w:val="2110A6D8"/>
    <w:lvl w:ilvl="0" w:tplc="9DBCB9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2D3C6E"/>
    <w:multiLevelType w:val="hybridMultilevel"/>
    <w:tmpl w:val="01FEB4F0"/>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2" w15:restartNumberingAfterBreak="0">
    <w:nsid w:val="75813958"/>
    <w:multiLevelType w:val="hybridMultilevel"/>
    <w:tmpl w:val="B6020D7E"/>
    <w:lvl w:ilvl="0" w:tplc="DD28F7C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9"/>
  </w:num>
  <w:num w:numId="5">
    <w:abstractNumId w:val="1"/>
  </w:num>
  <w:num w:numId="6">
    <w:abstractNumId w:val="4"/>
  </w:num>
  <w:num w:numId="7">
    <w:abstractNumId w:val="16"/>
  </w:num>
  <w:num w:numId="8">
    <w:abstractNumId w:val="6"/>
  </w:num>
  <w:num w:numId="9">
    <w:abstractNumId w:val="20"/>
  </w:num>
  <w:num w:numId="10">
    <w:abstractNumId w:val="2"/>
  </w:num>
  <w:num w:numId="11">
    <w:abstractNumId w:val="18"/>
  </w:num>
  <w:num w:numId="12">
    <w:abstractNumId w:val="19"/>
  </w:num>
  <w:num w:numId="13">
    <w:abstractNumId w:val="7"/>
  </w:num>
  <w:num w:numId="14">
    <w:abstractNumId w:val="10"/>
  </w:num>
  <w:num w:numId="15">
    <w:abstractNumId w:val="21"/>
  </w:num>
  <w:num w:numId="16">
    <w:abstractNumId w:val="8"/>
  </w:num>
  <w:num w:numId="17">
    <w:abstractNumId w:val="11"/>
  </w:num>
  <w:num w:numId="18">
    <w:abstractNumId w:val="5"/>
  </w:num>
  <w:num w:numId="19">
    <w:abstractNumId w:val="14"/>
  </w:num>
  <w:num w:numId="20">
    <w:abstractNumId w:val="22"/>
  </w:num>
  <w:num w:numId="21">
    <w:abstractNumId w:val="17"/>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3"/>
    <w:rsid w:val="00000CB8"/>
    <w:rsid w:val="00002776"/>
    <w:rsid w:val="0001071E"/>
    <w:rsid w:val="000109F8"/>
    <w:rsid w:val="000165A3"/>
    <w:rsid w:val="0003324D"/>
    <w:rsid w:val="00035AEC"/>
    <w:rsid w:val="00037461"/>
    <w:rsid w:val="000404F6"/>
    <w:rsid w:val="00040E6E"/>
    <w:rsid w:val="000457FE"/>
    <w:rsid w:val="000573ED"/>
    <w:rsid w:val="00057C4F"/>
    <w:rsid w:val="00060968"/>
    <w:rsid w:val="000613B5"/>
    <w:rsid w:val="000651E4"/>
    <w:rsid w:val="00073C03"/>
    <w:rsid w:val="00074FFE"/>
    <w:rsid w:val="0008325C"/>
    <w:rsid w:val="00083440"/>
    <w:rsid w:val="00091E57"/>
    <w:rsid w:val="00096D36"/>
    <w:rsid w:val="000A6A8C"/>
    <w:rsid w:val="000B22F4"/>
    <w:rsid w:val="000B36A5"/>
    <w:rsid w:val="000B45B1"/>
    <w:rsid w:val="000C4313"/>
    <w:rsid w:val="000C4744"/>
    <w:rsid w:val="000C6262"/>
    <w:rsid w:val="000E42B7"/>
    <w:rsid w:val="000E48D3"/>
    <w:rsid w:val="000E551C"/>
    <w:rsid w:val="000F0A1A"/>
    <w:rsid w:val="00102232"/>
    <w:rsid w:val="00125F7B"/>
    <w:rsid w:val="00133E6B"/>
    <w:rsid w:val="00140A14"/>
    <w:rsid w:val="0014395D"/>
    <w:rsid w:val="001474A3"/>
    <w:rsid w:val="00154501"/>
    <w:rsid w:val="00157F39"/>
    <w:rsid w:val="001636D8"/>
    <w:rsid w:val="00172908"/>
    <w:rsid w:val="00174223"/>
    <w:rsid w:val="00175B4C"/>
    <w:rsid w:val="0019186F"/>
    <w:rsid w:val="001A0570"/>
    <w:rsid w:val="001A3064"/>
    <w:rsid w:val="001A327F"/>
    <w:rsid w:val="001B2B0F"/>
    <w:rsid w:val="001B5EC7"/>
    <w:rsid w:val="001B60EC"/>
    <w:rsid w:val="001B7BD3"/>
    <w:rsid w:val="00207B9E"/>
    <w:rsid w:val="00215818"/>
    <w:rsid w:val="00215D27"/>
    <w:rsid w:val="002212C6"/>
    <w:rsid w:val="00261743"/>
    <w:rsid w:val="0026208B"/>
    <w:rsid w:val="00263502"/>
    <w:rsid w:val="00266494"/>
    <w:rsid w:val="00266B46"/>
    <w:rsid w:val="002711FC"/>
    <w:rsid w:val="0027192A"/>
    <w:rsid w:val="00277D13"/>
    <w:rsid w:val="00285CB2"/>
    <w:rsid w:val="002879F1"/>
    <w:rsid w:val="0029650E"/>
    <w:rsid w:val="00296AA7"/>
    <w:rsid w:val="0029785C"/>
    <w:rsid w:val="002A0159"/>
    <w:rsid w:val="002B0BD9"/>
    <w:rsid w:val="002D27D9"/>
    <w:rsid w:val="002D59A3"/>
    <w:rsid w:val="002E28D3"/>
    <w:rsid w:val="002E432C"/>
    <w:rsid w:val="003038C7"/>
    <w:rsid w:val="00312409"/>
    <w:rsid w:val="00312B05"/>
    <w:rsid w:val="0032251B"/>
    <w:rsid w:val="003324D6"/>
    <w:rsid w:val="00342515"/>
    <w:rsid w:val="00344409"/>
    <w:rsid w:val="00345D47"/>
    <w:rsid w:val="00347BF3"/>
    <w:rsid w:val="00355DB2"/>
    <w:rsid w:val="00360D57"/>
    <w:rsid w:val="00366CEE"/>
    <w:rsid w:val="003674CC"/>
    <w:rsid w:val="00374AB0"/>
    <w:rsid w:val="0038012C"/>
    <w:rsid w:val="00384EF3"/>
    <w:rsid w:val="00391C83"/>
    <w:rsid w:val="003A311E"/>
    <w:rsid w:val="003B0839"/>
    <w:rsid w:val="003C713A"/>
    <w:rsid w:val="003D248D"/>
    <w:rsid w:val="003D2940"/>
    <w:rsid w:val="003E5B4B"/>
    <w:rsid w:val="003F254D"/>
    <w:rsid w:val="003F4D85"/>
    <w:rsid w:val="003F67CA"/>
    <w:rsid w:val="00403C2F"/>
    <w:rsid w:val="00410552"/>
    <w:rsid w:val="00411FA1"/>
    <w:rsid w:val="004121E5"/>
    <w:rsid w:val="004124D7"/>
    <w:rsid w:val="004358EE"/>
    <w:rsid w:val="004360BF"/>
    <w:rsid w:val="004375BC"/>
    <w:rsid w:val="00442319"/>
    <w:rsid w:val="0044498B"/>
    <w:rsid w:val="00452596"/>
    <w:rsid w:val="00453950"/>
    <w:rsid w:val="00453CE5"/>
    <w:rsid w:val="00454C09"/>
    <w:rsid w:val="0045508A"/>
    <w:rsid w:val="00457883"/>
    <w:rsid w:val="00466EB4"/>
    <w:rsid w:val="00467393"/>
    <w:rsid w:val="00470631"/>
    <w:rsid w:val="004761EF"/>
    <w:rsid w:val="004854F2"/>
    <w:rsid w:val="004902C5"/>
    <w:rsid w:val="00494CC6"/>
    <w:rsid w:val="00496663"/>
    <w:rsid w:val="00496B69"/>
    <w:rsid w:val="004A2497"/>
    <w:rsid w:val="004A61AB"/>
    <w:rsid w:val="004A6337"/>
    <w:rsid w:val="004B26D3"/>
    <w:rsid w:val="004B45D8"/>
    <w:rsid w:val="004C2500"/>
    <w:rsid w:val="004C2E71"/>
    <w:rsid w:val="004C2F75"/>
    <w:rsid w:val="004C538D"/>
    <w:rsid w:val="004D15E4"/>
    <w:rsid w:val="004D6590"/>
    <w:rsid w:val="004E28C1"/>
    <w:rsid w:val="004E6B64"/>
    <w:rsid w:val="004E7C9B"/>
    <w:rsid w:val="004F0FDC"/>
    <w:rsid w:val="005000D7"/>
    <w:rsid w:val="005060EE"/>
    <w:rsid w:val="005160A3"/>
    <w:rsid w:val="005164FE"/>
    <w:rsid w:val="005166F4"/>
    <w:rsid w:val="00521D0B"/>
    <w:rsid w:val="005256D7"/>
    <w:rsid w:val="00533321"/>
    <w:rsid w:val="00535857"/>
    <w:rsid w:val="00535884"/>
    <w:rsid w:val="00555034"/>
    <w:rsid w:val="00566289"/>
    <w:rsid w:val="0056736C"/>
    <w:rsid w:val="00567D08"/>
    <w:rsid w:val="005720C8"/>
    <w:rsid w:val="00572CC7"/>
    <w:rsid w:val="00582ABB"/>
    <w:rsid w:val="00584382"/>
    <w:rsid w:val="005B0EB3"/>
    <w:rsid w:val="005B3DBA"/>
    <w:rsid w:val="005B5C4C"/>
    <w:rsid w:val="005B7F2E"/>
    <w:rsid w:val="005C0701"/>
    <w:rsid w:val="005C162F"/>
    <w:rsid w:val="005D5B2C"/>
    <w:rsid w:val="005D64FF"/>
    <w:rsid w:val="005D7372"/>
    <w:rsid w:val="005E0213"/>
    <w:rsid w:val="005E221D"/>
    <w:rsid w:val="005E2A11"/>
    <w:rsid w:val="005F2EF2"/>
    <w:rsid w:val="005F466F"/>
    <w:rsid w:val="005F5633"/>
    <w:rsid w:val="00602644"/>
    <w:rsid w:val="0060573B"/>
    <w:rsid w:val="006116F1"/>
    <w:rsid w:val="00614E73"/>
    <w:rsid w:val="0062135F"/>
    <w:rsid w:val="00621622"/>
    <w:rsid w:val="00624E5E"/>
    <w:rsid w:val="006306D6"/>
    <w:rsid w:val="006317BC"/>
    <w:rsid w:val="00634532"/>
    <w:rsid w:val="00634BAE"/>
    <w:rsid w:val="0064362A"/>
    <w:rsid w:val="00643BF7"/>
    <w:rsid w:val="00643E11"/>
    <w:rsid w:val="00662386"/>
    <w:rsid w:val="00675B35"/>
    <w:rsid w:val="0068341B"/>
    <w:rsid w:val="00686255"/>
    <w:rsid w:val="006A16EB"/>
    <w:rsid w:val="006B1C5D"/>
    <w:rsid w:val="006B1F6F"/>
    <w:rsid w:val="006C626B"/>
    <w:rsid w:val="006D4513"/>
    <w:rsid w:val="006D4DEF"/>
    <w:rsid w:val="006E5AB6"/>
    <w:rsid w:val="006F0F47"/>
    <w:rsid w:val="00700CDA"/>
    <w:rsid w:val="00703165"/>
    <w:rsid w:val="0070696D"/>
    <w:rsid w:val="007126AD"/>
    <w:rsid w:val="0071765F"/>
    <w:rsid w:val="00721A7E"/>
    <w:rsid w:val="00721B9E"/>
    <w:rsid w:val="007235D2"/>
    <w:rsid w:val="00732915"/>
    <w:rsid w:val="0074178F"/>
    <w:rsid w:val="00765CF0"/>
    <w:rsid w:val="00774707"/>
    <w:rsid w:val="00776D4C"/>
    <w:rsid w:val="00785A34"/>
    <w:rsid w:val="00787E2A"/>
    <w:rsid w:val="007A0181"/>
    <w:rsid w:val="007A276F"/>
    <w:rsid w:val="007A3A65"/>
    <w:rsid w:val="007A55AE"/>
    <w:rsid w:val="007A746C"/>
    <w:rsid w:val="007C2088"/>
    <w:rsid w:val="007C5D1F"/>
    <w:rsid w:val="007C63B8"/>
    <w:rsid w:val="007C71EE"/>
    <w:rsid w:val="007C76F9"/>
    <w:rsid w:val="007F0CE1"/>
    <w:rsid w:val="007F1102"/>
    <w:rsid w:val="007F4D8A"/>
    <w:rsid w:val="007F616E"/>
    <w:rsid w:val="00802297"/>
    <w:rsid w:val="00812E9B"/>
    <w:rsid w:val="00813816"/>
    <w:rsid w:val="00814767"/>
    <w:rsid w:val="00821335"/>
    <w:rsid w:val="0082148A"/>
    <w:rsid w:val="00823950"/>
    <w:rsid w:val="00825F9B"/>
    <w:rsid w:val="00826127"/>
    <w:rsid w:val="00852170"/>
    <w:rsid w:val="00855089"/>
    <w:rsid w:val="00856BDA"/>
    <w:rsid w:val="0086128B"/>
    <w:rsid w:val="0086300C"/>
    <w:rsid w:val="00864E80"/>
    <w:rsid w:val="00877B80"/>
    <w:rsid w:val="00882F33"/>
    <w:rsid w:val="0088306D"/>
    <w:rsid w:val="00884E96"/>
    <w:rsid w:val="00890249"/>
    <w:rsid w:val="00891BB1"/>
    <w:rsid w:val="0089407D"/>
    <w:rsid w:val="0089733B"/>
    <w:rsid w:val="008A0E45"/>
    <w:rsid w:val="008A4B1F"/>
    <w:rsid w:val="008A582A"/>
    <w:rsid w:val="008B4E5E"/>
    <w:rsid w:val="008C0268"/>
    <w:rsid w:val="008C4D07"/>
    <w:rsid w:val="008C7C2F"/>
    <w:rsid w:val="008D0438"/>
    <w:rsid w:val="008D6D6A"/>
    <w:rsid w:val="008E4648"/>
    <w:rsid w:val="008E743F"/>
    <w:rsid w:val="009062F7"/>
    <w:rsid w:val="0090795B"/>
    <w:rsid w:val="00907D3B"/>
    <w:rsid w:val="00920F1F"/>
    <w:rsid w:val="00927AE1"/>
    <w:rsid w:val="00930878"/>
    <w:rsid w:val="00933F41"/>
    <w:rsid w:val="00936E67"/>
    <w:rsid w:val="00943331"/>
    <w:rsid w:val="00945099"/>
    <w:rsid w:val="00947828"/>
    <w:rsid w:val="00952715"/>
    <w:rsid w:val="00953B5E"/>
    <w:rsid w:val="00960A47"/>
    <w:rsid w:val="009664C0"/>
    <w:rsid w:val="00970734"/>
    <w:rsid w:val="00972A89"/>
    <w:rsid w:val="00972E03"/>
    <w:rsid w:val="00976479"/>
    <w:rsid w:val="0099216D"/>
    <w:rsid w:val="009A3835"/>
    <w:rsid w:val="009A7847"/>
    <w:rsid w:val="009B2840"/>
    <w:rsid w:val="009B4C2D"/>
    <w:rsid w:val="009B4ECD"/>
    <w:rsid w:val="009B78AD"/>
    <w:rsid w:val="009C704E"/>
    <w:rsid w:val="009D09C3"/>
    <w:rsid w:val="009D4CDA"/>
    <w:rsid w:val="009D69D5"/>
    <w:rsid w:val="009E134B"/>
    <w:rsid w:val="009E2950"/>
    <w:rsid w:val="009F0978"/>
    <w:rsid w:val="00A02D6C"/>
    <w:rsid w:val="00A045EC"/>
    <w:rsid w:val="00A05CCD"/>
    <w:rsid w:val="00A164A6"/>
    <w:rsid w:val="00A21819"/>
    <w:rsid w:val="00A31260"/>
    <w:rsid w:val="00A337F7"/>
    <w:rsid w:val="00A42E20"/>
    <w:rsid w:val="00A43CCB"/>
    <w:rsid w:val="00A601A2"/>
    <w:rsid w:val="00A61650"/>
    <w:rsid w:val="00A61ADE"/>
    <w:rsid w:val="00A75C8F"/>
    <w:rsid w:val="00A84D5B"/>
    <w:rsid w:val="00A87D24"/>
    <w:rsid w:val="00A93084"/>
    <w:rsid w:val="00AA06A0"/>
    <w:rsid w:val="00AA4453"/>
    <w:rsid w:val="00AA65F3"/>
    <w:rsid w:val="00AB0C7E"/>
    <w:rsid w:val="00AC1983"/>
    <w:rsid w:val="00AC7AC8"/>
    <w:rsid w:val="00AD30E2"/>
    <w:rsid w:val="00AD4FF7"/>
    <w:rsid w:val="00AE00DD"/>
    <w:rsid w:val="00AE0E07"/>
    <w:rsid w:val="00AF0127"/>
    <w:rsid w:val="00AF0500"/>
    <w:rsid w:val="00AF09F7"/>
    <w:rsid w:val="00AF1508"/>
    <w:rsid w:val="00AF5C3D"/>
    <w:rsid w:val="00AF684B"/>
    <w:rsid w:val="00B048A4"/>
    <w:rsid w:val="00B05254"/>
    <w:rsid w:val="00B07836"/>
    <w:rsid w:val="00B12DA8"/>
    <w:rsid w:val="00B15CD6"/>
    <w:rsid w:val="00B17DA5"/>
    <w:rsid w:val="00B24106"/>
    <w:rsid w:val="00B35589"/>
    <w:rsid w:val="00B50C34"/>
    <w:rsid w:val="00B50E3A"/>
    <w:rsid w:val="00B517F3"/>
    <w:rsid w:val="00B64C67"/>
    <w:rsid w:val="00B6555A"/>
    <w:rsid w:val="00B71049"/>
    <w:rsid w:val="00B742D4"/>
    <w:rsid w:val="00B75065"/>
    <w:rsid w:val="00B813A0"/>
    <w:rsid w:val="00B844B0"/>
    <w:rsid w:val="00BA1515"/>
    <w:rsid w:val="00BA47EB"/>
    <w:rsid w:val="00BB1C8A"/>
    <w:rsid w:val="00BB384F"/>
    <w:rsid w:val="00BB42D9"/>
    <w:rsid w:val="00BB4534"/>
    <w:rsid w:val="00BC48CA"/>
    <w:rsid w:val="00BC7A62"/>
    <w:rsid w:val="00BD4500"/>
    <w:rsid w:val="00BD67D3"/>
    <w:rsid w:val="00BD6ED1"/>
    <w:rsid w:val="00BD7C93"/>
    <w:rsid w:val="00BE0BCF"/>
    <w:rsid w:val="00BE2F47"/>
    <w:rsid w:val="00BE4353"/>
    <w:rsid w:val="00BF0B6C"/>
    <w:rsid w:val="00BF2680"/>
    <w:rsid w:val="00BF3333"/>
    <w:rsid w:val="00BF6700"/>
    <w:rsid w:val="00C06097"/>
    <w:rsid w:val="00C07BD6"/>
    <w:rsid w:val="00C1133A"/>
    <w:rsid w:val="00C149FC"/>
    <w:rsid w:val="00C27EA7"/>
    <w:rsid w:val="00C52A19"/>
    <w:rsid w:val="00C5379A"/>
    <w:rsid w:val="00C55EC5"/>
    <w:rsid w:val="00C61A4E"/>
    <w:rsid w:val="00C66325"/>
    <w:rsid w:val="00C70565"/>
    <w:rsid w:val="00C75664"/>
    <w:rsid w:val="00C75B91"/>
    <w:rsid w:val="00C818D8"/>
    <w:rsid w:val="00C83F30"/>
    <w:rsid w:val="00C8538A"/>
    <w:rsid w:val="00C91E64"/>
    <w:rsid w:val="00C95464"/>
    <w:rsid w:val="00C96809"/>
    <w:rsid w:val="00CA22E5"/>
    <w:rsid w:val="00CB3B27"/>
    <w:rsid w:val="00CB7E20"/>
    <w:rsid w:val="00CC00DD"/>
    <w:rsid w:val="00CC640E"/>
    <w:rsid w:val="00CC6C4F"/>
    <w:rsid w:val="00CE0876"/>
    <w:rsid w:val="00CE1DFB"/>
    <w:rsid w:val="00CE20C1"/>
    <w:rsid w:val="00CE5A55"/>
    <w:rsid w:val="00CF2FA3"/>
    <w:rsid w:val="00D02998"/>
    <w:rsid w:val="00D20BB7"/>
    <w:rsid w:val="00D21686"/>
    <w:rsid w:val="00D258B9"/>
    <w:rsid w:val="00D30005"/>
    <w:rsid w:val="00D30510"/>
    <w:rsid w:val="00D32EFC"/>
    <w:rsid w:val="00D35A37"/>
    <w:rsid w:val="00D44BE0"/>
    <w:rsid w:val="00D453D8"/>
    <w:rsid w:val="00D472CC"/>
    <w:rsid w:val="00D52186"/>
    <w:rsid w:val="00D535CF"/>
    <w:rsid w:val="00D66B84"/>
    <w:rsid w:val="00D70063"/>
    <w:rsid w:val="00D73623"/>
    <w:rsid w:val="00D80BC1"/>
    <w:rsid w:val="00D81A48"/>
    <w:rsid w:val="00D830A9"/>
    <w:rsid w:val="00DA1406"/>
    <w:rsid w:val="00DB268F"/>
    <w:rsid w:val="00DC1EAD"/>
    <w:rsid w:val="00DD0D24"/>
    <w:rsid w:val="00DD39A2"/>
    <w:rsid w:val="00DD3F72"/>
    <w:rsid w:val="00DF0B56"/>
    <w:rsid w:val="00DF5E29"/>
    <w:rsid w:val="00E00234"/>
    <w:rsid w:val="00E004DA"/>
    <w:rsid w:val="00E01E76"/>
    <w:rsid w:val="00E04EE1"/>
    <w:rsid w:val="00E0582A"/>
    <w:rsid w:val="00E10FF8"/>
    <w:rsid w:val="00E15835"/>
    <w:rsid w:val="00E17916"/>
    <w:rsid w:val="00E20069"/>
    <w:rsid w:val="00E26D99"/>
    <w:rsid w:val="00E41DBB"/>
    <w:rsid w:val="00E4296B"/>
    <w:rsid w:val="00E437CD"/>
    <w:rsid w:val="00E46AAB"/>
    <w:rsid w:val="00E54053"/>
    <w:rsid w:val="00E55B8C"/>
    <w:rsid w:val="00E63D8F"/>
    <w:rsid w:val="00E66227"/>
    <w:rsid w:val="00E75068"/>
    <w:rsid w:val="00E82097"/>
    <w:rsid w:val="00E83171"/>
    <w:rsid w:val="00E837D8"/>
    <w:rsid w:val="00E848A8"/>
    <w:rsid w:val="00E87267"/>
    <w:rsid w:val="00EA474C"/>
    <w:rsid w:val="00EB4001"/>
    <w:rsid w:val="00EB4D95"/>
    <w:rsid w:val="00EB7FAE"/>
    <w:rsid w:val="00EC1BFD"/>
    <w:rsid w:val="00EC6FB2"/>
    <w:rsid w:val="00ED0EF8"/>
    <w:rsid w:val="00EE105C"/>
    <w:rsid w:val="00F01FA6"/>
    <w:rsid w:val="00F0418F"/>
    <w:rsid w:val="00F22BD4"/>
    <w:rsid w:val="00F30E9D"/>
    <w:rsid w:val="00F34F3D"/>
    <w:rsid w:val="00F3542F"/>
    <w:rsid w:val="00F35FF5"/>
    <w:rsid w:val="00F4604B"/>
    <w:rsid w:val="00F47A66"/>
    <w:rsid w:val="00F6319F"/>
    <w:rsid w:val="00F643B2"/>
    <w:rsid w:val="00F73A8E"/>
    <w:rsid w:val="00F84C27"/>
    <w:rsid w:val="00F8723E"/>
    <w:rsid w:val="00FA2BC2"/>
    <w:rsid w:val="00FA2E0D"/>
    <w:rsid w:val="00FA5B2A"/>
    <w:rsid w:val="00FB26D1"/>
    <w:rsid w:val="00FB4F52"/>
    <w:rsid w:val="00FC2E4E"/>
    <w:rsid w:val="00FC2EAC"/>
    <w:rsid w:val="00FE225F"/>
    <w:rsid w:val="00FF25E9"/>
    <w:rsid w:val="00FF7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2A21196-627C-4C70-BB68-A2E86734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3"/>
    <w:rPr>
      <w:sz w:val="24"/>
      <w:szCs w:val="24"/>
      <w:lang w:eastAsia="es-ES"/>
    </w:rPr>
  </w:style>
  <w:style w:type="paragraph" w:styleId="Ttulo1">
    <w:name w:val="heading 1"/>
    <w:basedOn w:val="Normal"/>
    <w:next w:val="Normal"/>
    <w:qFormat/>
    <w:rsid w:val="00384EF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84EF3"/>
    <w:pPr>
      <w:jc w:val="both"/>
    </w:pPr>
    <w:rPr>
      <w:rFonts w:ascii="Arial" w:hAnsi="Arial"/>
      <w:sz w:val="22"/>
      <w:szCs w:val="20"/>
      <w:lang w:val="es-ES_tradnl"/>
    </w:rPr>
  </w:style>
  <w:style w:type="paragraph" w:customStyle="1" w:styleId="texto">
    <w:name w:val="texto"/>
    <w:basedOn w:val="Normal"/>
    <w:rsid w:val="00384EF3"/>
    <w:pPr>
      <w:spacing w:after="101" w:line="216" w:lineRule="atLeast"/>
      <w:ind w:firstLine="288"/>
      <w:jc w:val="both"/>
    </w:pPr>
    <w:rPr>
      <w:rFonts w:ascii="Arial" w:hAnsi="Arial"/>
      <w:sz w:val="18"/>
      <w:szCs w:val="20"/>
      <w:lang w:val="es-ES_tradnl"/>
    </w:rPr>
  </w:style>
  <w:style w:type="character" w:styleId="Nmerodepgina">
    <w:name w:val="page number"/>
    <w:basedOn w:val="Fuentedeprrafopredeter"/>
    <w:rsid w:val="00384EF3"/>
  </w:style>
  <w:style w:type="paragraph" w:styleId="Piedepgina">
    <w:name w:val="footer"/>
    <w:basedOn w:val="Normal"/>
    <w:link w:val="PiedepginaCar"/>
    <w:uiPriority w:val="99"/>
    <w:rsid w:val="00384EF3"/>
    <w:pPr>
      <w:tabs>
        <w:tab w:val="center" w:pos="4252"/>
        <w:tab w:val="right" w:pos="8504"/>
      </w:tabs>
    </w:pPr>
  </w:style>
  <w:style w:type="paragraph" w:styleId="Encabezado">
    <w:name w:val="header"/>
    <w:basedOn w:val="Normal"/>
    <w:rsid w:val="00384EF3"/>
    <w:pPr>
      <w:tabs>
        <w:tab w:val="center" w:pos="4252"/>
        <w:tab w:val="right" w:pos="8504"/>
      </w:tabs>
    </w:pPr>
  </w:style>
  <w:style w:type="paragraph" w:styleId="Sangranormal">
    <w:name w:val="Normal Indent"/>
    <w:basedOn w:val="Normal"/>
    <w:rsid w:val="00384EF3"/>
    <w:pPr>
      <w:spacing w:after="72" w:line="187" w:lineRule="atLeast"/>
      <w:jc w:val="both"/>
    </w:pPr>
    <w:rPr>
      <w:rFonts w:ascii="Arial" w:hAnsi="Arial"/>
      <w:sz w:val="16"/>
      <w:szCs w:val="20"/>
      <w:lang w:val="es-ES_tradnl"/>
    </w:rPr>
  </w:style>
  <w:style w:type="character" w:styleId="Hipervnculo">
    <w:name w:val="Hyperlink"/>
    <w:basedOn w:val="Fuentedeprrafopredeter"/>
    <w:rsid w:val="00384EF3"/>
    <w:rPr>
      <w:color w:val="0000FF"/>
      <w:u w:val="single"/>
    </w:rPr>
  </w:style>
  <w:style w:type="character" w:styleId="Hipervnculovisitado">
    <w:name w:val="FollowedHyperlink"/>
    <w:basedOn w:val="Fuentedeprrafopredeter"/>
    <w:rsid w:val="00384EF3"/>
    <w:rPr>
      <w:color w:val="800080"/>
      <w:u w:val="single"/>
    </w:rPr>
  </w:style>
  <w:style w:type="paragraph" w:styleId="Textoindependiente">
    <w:name w:val="Body Text"/>
    <w:basedOn w:val="Normal"/>
    <w:rsid w:val="00384EF3"/>
    <w:pPr>
      <w:autoSpaceDE w:val="0"/>
      <w:autoSpaceDN w:val="0"/>
      <w:adjustRightInd w:val="0"/>
      <w:jc w:val="center"/>
    </w:pPr>
    <w:rPr>
      <w:rFonts w:ascii="Arial" w:hAnsi="Arial" w:cs="Arial"/>
      <w:b/>
      <w:bCs/>
      <w:sz w:val="18"/>
    </w:rPr>
  </w:style>
  <w:style w:type="paragraph" w:customStyle="1" w:styleId="Texto0">
    <w:name w:val="Texto"/>
    <w:aliases w:val="independiente,independiente Car Car Car"/>
    <w:basedOn w:val="Normal"/>
    <w:link w:val="TextoCar1"/>
    <w:qFormat/>
    <w:rsid w:val="00384EF3"/>
    <w:pPr>
      <w:spacing w:after="101" w:line="216" w:lineRule="exact"/>
      <w:ind w:firstLine="288"/>
      <w:jc w:val="both"/>
    </w:pPr>
    <w:rPr>
      <w:rFonts w:ascii="Arial" w:hAnsi="Arial"/>
      <w:sz w:val="18"/>
      <w:szCs w:val="20"/>
    </w:rPr>
  </w:style>
  <w:style w:type="paragraph" w:customStyle="1" w:styleId="Anotacion">
    <w:name w:val="Anotacion"/>
    <w:basedOn w:val="Normal"/>
    <w:rsid w:val="00384EF3"/>
    <w:pPr>
      <w:spacing w:before="101" w:after="101"/>
      <w:jc w:val="center"/>
    </w:pPr>
    <w:rPr>
      <w:b/>
      <w:sz w:val="18"/>
      <w:szCs w:val="20"/>
    </w:rPr>
  </w:style>
  <w:style w:type="paragraph" w:styleId="Textoindependiente2">
    <w:name w:val="Body Text 2"/>
    <w:basedOn w:val="Normal"/>
    <w:rsid w:val="00384EF3"/>
    <w:pPr>
      <w:jc w:val="both"/>
    </w:pPr>
    <w:rPr>
      <w:rFonts w:ascii="Arial" w:hAnsi="Arial" w:cs="Arial"/>
      <w:sz w:val="22"/>
    </w:rPr>
  </w:style>
  <w:style w:type="paragraph" w:styleId="Mapadeldocumento">
    <w:name w:val="Document Map"/>
    <w:basedOn w:val="Normal"/>
    <w:semiHidden/>
    <w:rsid w:val="005160A3"/>
    <w:pPr>
      <w:shd w:val="clear" w:color="auto" w:fill="000080"/>
    </w:pPr>
    <w:rPr>
      <w:rFonts w:ascii="Tahoma" w:hAnsi="Tahoma" w:cs="Tahoma"/>
      <w:sz w:val="20"/>
      <w:szCs w:val="20"/>
    </w:rPr>
  </w:style>
  <w:style w:type="paragraph" w:styleId="NormalWeb">
    <w:name w:val="Normal (Web)"/>
    <w:basedOn w:val="Normal"/>
    <w:rsid w:val="00000CB8"/>
    <w:pPr>
      <w:spacing w:before="100" w:beforeAutospacing="1" w:after="100" w:afterAutospacing="1"/>
    </w:pPr>
    <w:rPr>
      <w:rFonts w:ascii="Arial Unicode MS" w:eastAsia="Arial Unicode MS" w:hAnsi="Arial Unicode MS" w:cs="Arial Unicode MS"/>
    </w:rPr>
  </w:style>
  <w:style w:type="character" w:customStyle="1" w:styleId="TextoCar1">
    <w:name w:val="Texto Car1"/>
    <w:basedOn w:val="Fuentedeprrafopredeter"/>
    <w:link w:val="Texto0"/>
    <w:rsid w:val="00947828"/>
    <w:rPr>
      <w:rFonts w:ascii="Arial" w:hAnsi="Arial"/>
      <w:sz w:val="18"/>
      <w:lang w:val="es-ES" w:eastAsia="es-ES"/>
    </w:rPr>
  </w:style>
  <w:style w:type="paragraph" w:customStyle="1" w:styleId="Titulo2">
    <w:name w:val="Titulo 2"/>
    <w:basedOn w:val="Texto0"/>
    <w:rsid w:val="00C55EC5"/>
    <w:pPr>
      <w:pBdr>
        <w:top w:val="double" w:sz="6" w:space="1" w:color="auto"/>
      </w:pBdr>
      <w:spacing w:line="240" w:lineRule="auto"/>
      <w:ind w:firstLine="0"/>
      <w:outlineLvl w:val="1"/>
    </w:pPr>
    <w:rPr>
      <w:rFonts w:cs="Arial"/>
    </w:rPr>
  </w:style>
  <w:style w:type="paragraph" w:customStyle="1" w:styleId="EstilotextoPrimeralnea0">
    <w:name w:val="Estilo texto + Primera línea:  0&quot;"/>
    <w:basedOn w:val="Normal"/>
    <w:rsid w:val="00C55EC5"/>
    <w:pPr>
      <w:spacing w:after="101" w:line="216" w:lineRule="exact"/>
      <w:jc w:val="both"/>
    </w:pPr>
    <w:rPr>
      <w:rFonts w:ascii="Arial" w:hAnsi="Arial"/>
      <w:sz w:val="18"/>
      <w:szCs w:val="20"/>
      <w:lang w:eastAsia="es-MX"/>
    </w:rPr>
  </w:style>
  <w:style w:type="paragraph" w:customStyle="1" w:styleId="ROMANOS">
    <w:name w:val="ROMANOS"/>
    <w:basedOn w:val="Normal"/>
    <w:rsid w:val="00261743"/>
    <w:pPr>
      <w:tabs>
        <w:tab w:val="left" w:pos="720"/>
      </w:tabs>
      <w:spacing w:after="101" w:line="216" w:lineRule="atLeast"/>
      <w:ind w:left="720" w:hanging="432"/>
      <w:jc w:val="both"/>
    </w:pPr>
    <w:rPr>
      <w:rFonts w:ascii="Arial" w:hAnsi="Arial"/>
      <w:sz w:val="18"/>
      <w:szCs w:val="20"/>
      <w:lang w:val="es-ES_tradnl"/>
    </w:rPr>
  </w:style>
  <w:style w:type="character" w:styleId="nfasis">
    <w:name w:val="Emphasis"/>
    <w:basedOn w:val="Fuentedeprrafopredeter"/>
    <w:qFormat/>
    <w:rsid w:val="009062F7"/>
    <w:rPr>
      <w:i/>
      <w:iCs/>
    </w:rPr>
  </w:style>
  <w:style w:type="paragraph" w:styleId="Subttulo">
    <w:name w:val="Subtitle"/>
    <w:basedOn w:val="Normal"/>
    <w:next w:val="Normal"/>
    <w:link w:val="SubttuloCar"/>
    <w:qFormat/>
    <w:rsid w:val="009062F7"/>
    <w:pPr>
      <w:spacing w:after="60"/>
      <w:jc w:val="center"/>
      <w:outlineLvl w:val="1"/>
    </w:pPr>
    <w:rPr>
      <w:rFonts w:ascii="Cambria" w:hAnsi="Cambria"/>
    </w:rPr>
  </w:style>
  <w:style w:type="character" w:customStyle="1" w:styleId="SubttuloCar">
    <w:name w:val="Subtítulo Car"/>
    <w:basedOn w:val="Fuentedeprrafopredeter"/>
    <w:link w:val="Subttulo"/>
    <w:rsid w:val="009062F7"/>
    <w:rPr>
      <w:rFonts w:ascii="Cambria" w:eastAsia="Times New Roman" w:hAnsi="Cambria" w:cs="Times New Roman"/>
      <w:sz w:val="24"/>
      <w:szCs w:val="24"/>
      <w:lang w:eastAsia="es-ES"/>
    </w:rPr>
  </w:style>
  <w:style w:type="paragraph" w:styleId="Textodeglobo">
    <w:name w:val="Balloon Text"/>
    <w:basedOn w:val="Normal"/>
    <w:link w:val="TextodegloboCar"/>
    <w:rsid w:val="0026208B"/>
    <w:rPr>
      <w:rFonts w:ascii="Tahoma" w:hAnsi="Tahoma" w:cs="Tahoma"/>
      <w:sz w:val="16"/>
      <w:szCs w:val="16"/>
    </w:rPr>
  </w:style>
  <w:style w:type="character" w:customStyle="1" w:styleId="TextodegloboCar">
    <w:name w:val="Texto de globo Car"/>
    <w:basedOn w:val="Fuentedeprrafopredeter"/>
    <w:link w:val="Textodeglobo"/>
    <w:rsid w:val="0026208B"/>
    <w:rPr>
      <w:rFonts w:ascii="Tahoma" w:hAnsi="Tahoma" w:cs="Tahoma"/>
      <w:sz w:val="16"/>
      <w:szCs w:val="16"/>
      <w:lang w:eastAsia="es-ES"/>
    </w:rPr>
  </w:style>
  <w:style w:type="character" w:customStyle="1" w:styleId="TextoCar">
    <w:name w:val="Texto Car"/>
    <w:basedOn w:val="Fuentedeprrafopredeter"/>
    <w:locked/>
    <w:rsid w:val="00634BAE"/>
    <w:rPr>
      <w:rFonts w:ascii="Arial" w:hAnsi="Arial" w:cs="Arial"/>
    </w:rPr>
  </w:style>
  <w:style w:type="paragraph" w:styleId="Prrafodelista">
    <w:name w:val="List Paragraph"/>
    <w:basedOn w:val="Normal"/>
    <w:link w:val="PrrafodelistaCar"/>
    <w:uiPriority w:val="34"/>
    <w:qFormat/>
    <w:rsid w:val="00F643B2"/>
    <w:pPr>
      <w:ind w:left="708"/>
    </w:pPr>
  </w:style>
  <w:style w:type="character" w:customStyle="1" w:styleId="SangradetextonormalCar">
    <w:name w:val="Sangría de texto normal Car"/>
    <w:basedOn w:val="Fuentedeprrafopredeter"/>
    <w:link w:val="Sangradetextonormal"/>
    <w:rsid w:val="00AA65F3"/>
    <w:rPr>
      <w:rFonts w:ascii="Arial" w:hAnsi="Arial"/>
      <w:sz w:val="22"/>
      <w:lang w:val="es-ES_tradnl" w:eastAsia="es-ES"/>
    </w:rPr>
  </w:style>
  <w:style w:type="character" w:customStyle="1" w:styleId="PiedepginaCar">
    <w:name w:val="Pie de página Car"/>
    <w:basedOn w:val="Fuentedeprrafopredeter"/>
    <w:link w:val="Piedepgina"/>
    <w:uiPriority w:val="99"/>
    <w:rsid w:val="007A0181"/>
    <w:rPr>
      <w:sz w:val="24"/>
      <w:szCs w:val="24"/>
      <w:lang w:eastAsia="es-ES"/>
    </w:rPr>
  </w:style>
  <w:style w:type="paragraph" w:customStyle="1" w:styleId="ANOTACION0">
    <w:name w:val="ANOTACION"/>
    <w:basedOn w:val="Normal"/>
    <w:link w:val="ANOTACIONCar"/>
    <w:rsid w:val="00091E57"/>
    <w:pPr>
      <w:spacing w:before="101" w:after="101" w:line="216" w:lineRule="atLeast"/>
      <w:jc w:val="center"/>
    </w:pPr>
    <w:rPr>
      <w:b/>
      <w:sz w:val="18"/>
      <w:szCs w:val="20"/>
      <w:lang w:val="es-ES_tradnl"/>
    </w:rPr>
  </w:style>
  <w:style w:type="character" w:customStyle="1" w:styleId="ANOTACIONCar">
    <w:name w:val="ANOTACION Car"/>
    <w:link w:val="ANOTACION0"/>
    <w:locked/>
    <w:rsid w:val="00091E57"/>
    <w:rPr>
      <w:b/>
      <w:sz w:val="18"/>
      <w:lang w:val="es-ES_tradnl" w:eastAsia="es-ES"/>
    </w:rPr>
  </w:style>
  <w:style w:type="character" w:customStyle="1" w:styleId="PrrafodelistaCar">
    <w:name w:val="Párrafo de lista Car"/>
    <w:link w:val="Prrafodelista"/>
    <w:uiPriority w:val="34"/>
    <w:locked/>
    <w:rsid w:val="005F563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AA3823-5A7D-45BD-ABA0-9432701915C6}"/>
</file>

<file path=customXml/itemProps2.xml><?xml version="1.0" encoding="utf-8"?>
<ds:datastoreItem xmlns:ds="http://schemas.openxmlformats.org/officeDocument/2006/customXml" ds:itemID="{20CD43B3-74BE-4748-9905-C2B14D5E8F05}"/>
</file>

<file path=customXml/itemProps3.xml><?xml version="1.0" encoding="utf-8"?>
<ds:datastoreItem xmlns:ds="http://schemas.openxmlformats.org/officeDocument/2006/customXml" ds:itemID="{2D1DCEE3-4E89-46D3-9713-FBA1F6708E2D}"/>
</file>

<file path=customXml/itemProps4.xml><?xml version="1.0" encoding="utf-8"?>
<ds:datastoreItem xmlns:ds="http://schemas.openxmlformats.org/officeDocument/2006/customXml" ds:itemID="{F7CEA8AE-D25A-405A-8539-F0E9F4D5DB0E}"/>
</file>

<file path=docProps/app.xml><?xml version="1.0" encoding="utf-8"?>
<Properties xmlns="http://schemas.openxmlformats.org/officeDocument/2006/extended-properties" xmlns:vt="http://schemas.openxmlformats.org/officeDocument/2006/docPropsVTypes">
  <Template>Normal</Template>
  <TotalTime>22</TotalTime>
  <Pages>4</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Anexo 1 de la Resolución Miscelánea Fiscal para 2003</vt:lpstr>
    </vt:vector>
  </TitlesOfParts>
  <Company>SAT</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de la Resolución Miscelánea Fiscal para 2003</dc:title>
  <dc:creator>AUEM723G</dc:creator>
  <cp:lastModifiedBy>ACNII</cp:lastModifiedBy>
  <cp:revision>8</cp:revision>
  <cp:lastPrinted>2017-09-27T14:53:00Z</cp:lastPrinted>
  <dcterms:created xsi:type="dcterms:W3CDTF">2017-09-27T14:33:00Z</dcterms:created>
  <dcterms:modified xsi:type="dcterms:W3CDTF">2017-10-03T19:14:00Z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