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6D" w:rsidRPr="00787470" w:rsidRDefault="006F416D" w:rsidP="006F416D">
      <w:pPr>
        <w:pStyle w:val="Titulo1"/>
        <w:rPr>
          <w:rFonts w:cs="Times New Roman"/>
        </w:rPr>
      </w:pPr>
      <w:r w:rsidRPr="00787470">
        <w:rPr>
          <w:rFonts w:cs="Times New Roman"/>
        </w:rPr>
        <w:t>ACUERDO del Comité Interinstitucional para la Aplicación del Estímulo Fiscal a Proyectos de Inversión en la Producción Teatral Nacional por el que se da a conocer la distribución del monto otorgado por concepto del estímulo fiscal a que se refiere el artículo 190, fracción III de la Ley del Impuesto sobre la Renta, durante el ejercicio fiscal de 2015.</w:t>
      </w:r>
    </w:p>
    <w:p w:rsidR="006F416D" w:rsidRPr="00787470" w:rsidRDefault="006F416D" w:rsidP="006F416D">
      <w:pPr>
        <w:pStyle w:val="Titulo2"/>
      </w:pPr>
      <w:r w:rsidRPr="00787470">
        <w:t>Comité Interinstitucional para la Aplicación del Estímulo Fiscal a Proyectos de Inversión en la Producción Teatral Nacional.</w:t>
      </w:r>
    </w:p>
    <w:p w:rsidR="006F416D" w:rsidRPr="006332AC" w:rsidRDefault="006F416D" w:rsidP="006F416D">
      <w:pPr>
        <w:pStyle w:val="Texto"/>
        <w:spacing w:after="80"/>
      </w:pPr>
      <w:r w:rsidRPr="006332AC">
        <w:t>El Comité Interinstitucional para la Aplicación del Estímulo Fiscal a Proyectos de Inversión en la Producción Teatral Nacional, con fundamento en lo dispuesto por el artículo 190, fracción III de la Ley del Impuesto sobre la Renta, y en cumplimiento de lo que establece la regla 6, inciso d) del “Acuerdo por el que se emiten las Reglas Generales para la aplicación del Estímulo Fiscal a Proyectos de Inversión en la Producción Teatral Nacional”, publicado en el Diario Oficial de la Federación el 20 de enero de 2014,</w:t>
      </w:r>
      <w:r>
        <w:t xml:space="preserve"> </w:t>
      </w:r>
      <w:r w:rsidRPr="006332AC">
        <w:t>da a conocer:</w:t>
      </w:r>
    </w:p>
    <w:p w:rsidR="006F416D" w:rsidRPr="006332AC" w:rsidRDefault="006F416D" w:rsidP="006F416D">
      <w:pPr>
        <w:pStyle w:val="Texto"/>
        <w:spacing w:after="80"/>
      </w:pPr>
      <w:r w:rsidRPr="006332AC">
        <w:t>La distribución del monto de $48,283,576.00 (Cuarenta y ocho millones doscientos ochenta y tres mil quinientos setenta y seis pesos 00/100 M.N.)</w:t>
      </w:r>
      <w:r w:rsidRPr="003C1B11">
        <w:rPr>
          <w:rStyle w:val="Refdenotaalpie"/>
        </w:rPr>
        <w:footnoteReference w:id="1"/>
      </w:r>
      <w:r w:rsidRPr="006332AC">
        <w:t xml:space="preserve"> por concepto de estímulo fiscal que se otorgó a proyectos de inversión en la producción teatral nacional correspondiente al ejercicio fiscal de 2015, así como a los contribuyentes beneficiados en relación con los proyectos de inversión y las cantidades que a continuación </w:t>
      </w:r>
      <w:r>
        <w:t xml:space="preserve"> </w:t>
      </w:r>
      <w:r w:rsidRPr="006332AC">
        <w:t>se señalan:</w:t>
      </w:r>
    </w:p>
    <w:tbl>
      <w:tblPr>
        <w:tblW w:w="8712" w:type="dxa"/>
        <w:tblInd w:w="144" w:type="dxa"/>
        <w:tblLayout w:type="fixed"/>
        <w:tblCellMar>
          <w:left w:w="43" w:type="dxa"/>
          <w:right w:w="43" w:type="dxa"/>
        </w:tblCellMar>
        <w:tblLook w:val="0000"/>
      </w:tblPr>
      <w:tblGrid>
        <w:gridCol w:w="418"/>
        <w:gridCol w:w="9"/>
        <w:gridCol w:w="3001"/>
        <w:gridCol w:w="3877"/>
        <w:gridCol w:w="1407"/>
      </w:tblGrid>
      <w:tr w:rsidR="006F416D" w:rsidRPr="000919FC" w:rsidTr="001D661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000000" w:fill="C0C0C0"/>
            <w:noWrap/>
            <w:vAlign w:val="center"/>
          </w:tcPr>
          <w:p w:rsidR="006F416D" w:rsidRPr="000919FC" w:rsidRDefault="006F416D" w:rsidP="001D6610">
            <w:pPr>
              <w:pStyle w:val="Texto"/>
              <w:spacing w:before="20" w:after="80" w:line="240" w:lineRule="auto"/>
              <w:ind w:firstLine="0"/>
              <w:jc w:val="center"/>
              <w:rPr>
                <w:b/>
                <w:sz w:val="16"/>
                <w:szCs w:val="16"/>
              </w:rPr>
            </w:pPr>
            <w:r w:rsidRPr="000919FC">
              <w:rPr>
                <w:b/>
                <w:sz w:val="16"/>
                <w:szCs w:val="16"/>
              </w:rPr>
              <w:t>PROYECTOS DE INVERSIÓN EN LA PRODUCCIÓN TEATRAL NACIONAL</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before="20" w:after="80" w:line="240" w:lineRule="auto"/>
              <w:ind w:firstLine="0"/>
              <w:jc w:val="center"/>
              <w:rPr>
                <w:b/>
                <w:sz w:val="16"/>
                <w:szCs w:val="16"/>
              </w:rPr>
            </w:pPr>
            <w:bookmarkStart w:id="0" w:name="RANGE!A2:D2"/>
            <w:r w:rsidRPr="000919FC">
              <w:rPr>
                <w:b/>
                <w:sz w:val="16"/>
                <w:szCs w:val="16"/>
              </w:rPr>
              <w:t>No.</w:t>
            </w:r>
            <w:bookmarkEnd w:id="0"/>
          </w:p>
        </w:tc>
        <w:tc>
          <w:tcPr>
            <w:tcW w:w="3001" w:type="dxa"/>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before="20" w:after="80" w:line="240" w:lineRule="auto"/>
              <w:ind w:firstLine="0"/>
              <w:jc w:val="center"/>
              <w:rPr>
                <w:b/>
                <w:sz w:val="16"/>
                <w:szCs w:val="16"/>
              </w:rPr>
            </w:pPr>
            <w:r w:rsidRPr="000919FC">
              <w:rPr>
                <w:b/>
                <w:sz w:val="16"/>
                <w:szCs w:val="16"/>
              </w:rPr>
              <w:t>Proyecto de inversión</w:t>
            </w:r>
          </w:p>
        </w:tc>
        <w:tc>
          <w:tcPr>
            <w:tcW w:w="3877" w:type="dxa"/>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before="20" w:after="80" w:line="240" w:lineRule="auto"/>
              <w:ind w:firstLine="0"/>
              <w:jc w:val="center"/>
              <w:rPr>
                <w:b/>
                <w:sz w:val="16"/>
                <w:szCs w:val="16"/>
              </w:rPr>
            </w:pPr>
            <w:r w:rsidRPr="000919FC">
              <w:rPr>
                <w:b/>
                <w:sz w:val="16"/>
                <w:szCs w:val="16"/>
              </w:rPr>
              <w:t xml:space="preserve">Contribuyente </w:t>
            </w:r>
            <w:proofErr w:type="spellStart"/>
            <w:r w:rsidRPr="000919FC">
              <w:rPr>
                <w:b/>
                <w:sz w:val="16"/>
                <w:szCs w:val="16"/>
              </w:rPr>
              <w:t>Aportante</w:t>
            </w:r>
            <w:proofErr w:type="spellEnd"/>
          </w:p>
        </w:tc>
        <w:tc>
          <w:tcPr>
            <w:tcW w:w="1407" w:type="dxa"/>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before="20" w:after="80" w:line="240" w:lineRule="auto"/>
              <w:ind w:firstLine="0"/>
              <w:jc w:val="center"/>
              <w:rPr>
                <w:b/>
                <w:sz w:val="16"/>
                <w:szCs w:val="16"/>
              </w:rPr>
            </w:pPr>
            <w:r w:rsidRPr="000919FC">
              <w:rPr>
                <w:b/>
                <w:sz w:val="16"/>
                <w:szCs w:val="16"/>
              </w:rPr>
              <w:t>Monto del estímulo otorgado</w:t>
            </w:r>
          </w:p>
        </w:tc>
      </w:tr>
      <w:tr w:rsidR="006F416D" w:rsidRPr="000919FC" w:rsidTr="001D6610">
        <w:tblPrEx>
          <w:tblCellMar>
            <w:top w:w="0" w:type="dxa"/>
            <w:bottom w:w="0" w:type="dxa"/>
          </w:tblCellMar>
        </w:tblPrEx>
        <w:trPr>
          <w:trHeight w:val="20"/>
        </w:trPr>
        <w:tc>
          <w:tcPr>
            <w:tcW w:w="427"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1</w:t>
            </w:r>
          </w:p>
        </w:tc>
        <w:tc>
          <w:tcPr>
            <w:tcW w:w="3001"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LA EXTINCIÓN DE LOS DINOSAURIOS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COLCHAS MÉXICO,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$350,000.00</w:t>
            </w:r>
          </w:p>
        </w:tc>
      </w:tr>
      <w:tr w:rsidR="006F416D" w:rsidRPr="000919FC" w:rsidTr="001D6610">
        <w:tblPrEx>
          <w:tblCellMar>
            <w:top w:w="0" w:type="dxa"/>
            <w:bottom w:w="0" w:type="dxa"/>
          </w:tblCellMar>
        </w:tblPrEx>
        <w:trPr>
          <w:trHeight w:val="20"/>
        </w:trPr>
        <w:tc>
          <w:tcPr>
            <w:tcW w:w="427"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p>
        </w:tc>
        <w:tc>
          <w:tcPr>
            <w:tcW w:w="3001"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PRODUCTOS ELÉCTRICOS Y FERRETEROS,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$393,900.00</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2</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EL AVARO</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CONSEJO DE ASISTENCIA AL MICROEMPRENDEDOR, S.A. DE C.V. S.F.P.</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$1,860,000.00</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3</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MÚSICA PARA LOS OJOS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COMERCIALIZADORA METROGAS,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$851,621.47</w:t>
            </w:r>
          </w:p>
        </w:tc>
      </w:tr>
      <w:tr w:rsidR="006F416D" w:rsidRPr="000919FC" w:rsidTr="001D6610">
        <w:tblPrEx>
          <w:tblCellMar>
            <w:top w:w="0" w:type="dxa"/>
            <w:bottom w:w="0" w:type="dxa"/>
          </w:tblCellMar>
        </w:tblPrEx>
        <w:trPr>
          <w:trHeight w:val="20"/>
        </w:trPr>
        <w:tc>
          <w:tcPr>
            <w:tcW w:w="427"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4</w:t>
            </w:r>
          </w:p>
        </w:tc>
        <w:tc>
          <w:tcPr>
            <w:tcW w:w="3001"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LE JOURNAL</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CONSULTORES PROFESIONALES CORPORATIVOS,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$174,269.39</w:t>
            </w:r>
          </w:p>
        </w:tc>
      </w:tr>
      <w:tr w:rsidR="006F416D" w:rsidRPr="000919FC" w:rsidTr="001D6610">
        <w:tblPrEx>
          <w:tblCellMar>
            <w:top w:w="0" w:type="dxa"/>
            <w:bottom w:w="0" w:type="dxa"/>
          </w:tblCellMar>
        </w:tblPrEx>
        <w:trPr>
          <w:trHeight w:val="20"/>
        </w:trPr>
        <w:tc>
          <w:tcPr>
            <w:tcW w:w="427"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p>
        </w:tc>
        <w:tc>
          <w:tcPr>
            <w:tcW w:w="3001"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SELLCOM SOLUTIONS MÉXICO,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$355,434.61</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5</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ATRACCIÓN FATAL</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AEROPUERTO DE CANCÚN,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$1,700,000.00</w:t>
            </w:r>
          </w:p>
        </w:tc>
      </w:tr>
      <w:tr w:rsidR="006F416D" w:rsidRPr="000919FC" w:rsidTr="001D6610">
        <w:tblPrEx>
          <w:tblCellMar>
            <w:top w:w="0" w:type="dxa"/>
            <w:bottom w:w="0" w:type="dxa"/>
          </w:tblCellMar>
        </w:tblPrEx>
        <w:trPr>
          <w:trHeight w:val="20"/>
        </w:trPr>
        <w:tc>
          <w:tcPr>
            <w:tcW w:w="427"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6</w:t>
            </w:r>
          </w:p>
        </w:tc>
        <w:tc>
          <w:tcPr>
            <w:tcW w:w="3001"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EL ORNITORRINCO</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AGBO INMOBILIARIA,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$606,769.87</w:t>
            </w:r>
          </w:p>
        </w:tc>
      </w:tr>
      <w:tr w:rsidR="006F416D" w:rsidRPr="000919FC" w:rsidTr="001D6610">
        <w:tblPrEx>
          <w:tblCellMar>
            <w:top w:w="0" w:type="dxa"/>
            <w:bottom w:w="0" w:type="dxa"/>
          </w:tblCellMar>
        </w:tblPrEx>
        <w:trPr>
          <w:trHeight w:val="20"/>
        </w:trPr>
        <w:tc>
          <w:tcPr>
            <w:tcW w:w="427"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p>
        </w:tc>
        <w:tc>
          <w:tcPr>
            <w:tcW w:w="3001"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OPERADORA LOB,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$991,177.49</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7</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EL EFECTO</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IMPCECO,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$654,630.39</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8</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EL OGRITO</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NUTRISA,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$1,555,961.05</w:t>
            </w:r>
          </w:p>
        </w:tc>
      </w:tr>
      <w:tr w:rsidR="006F416D" w:rsidRPr="000919FC" w:rsidTr="001D6610">
        <w:tblPrEx>
          <w:tblCellMar>
            <w:top w:w="0" w:type="dxa"/>
            <w:bottom w:w="0" w:type="dxa"/>
          </w:tblCellMar>
        </w:tblPrEx>
        <w:trPr>
          <w:trHeight w:val="20"/>
        </w:trPr>
        <w:tc>
          <w:tcPr>
            <w:tcW w:w="427"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9</w:t>
            </w:r>
          </w:p>
        </w:tc>
        <w:tc>
          <w:tcPr>
            <w:tcW w:w="3001"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NUBES FRENTE A UN ESPEJO</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CAMPOMAR,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$686,525.00</w:t>
            </w:r>
          </w:p>
        </w:tc>
      </w:tr>
      <w:tr w:rsidR="006F416D" w:rsidRPr="000919FC" w:rsidTr="001D6610">
        <w:tblPrEx>
          <w:tblCellMar>
            <w:top w:w="0" w:type="dxa"/>
            <w:bottom w:w="0" w:type="dxa"/>
          </w:tblCellMar>
        </w:tblPrEx>
        <w:trPr>
          <w:trHeight w:val="20"/>
        </w:trPr>
        <w:tc>
          <w:tcPr>
            <w:tcW w:w="427" w:type="dxa"/>
            <w:gridSpan w:val="2"/>
            <w:vMerge/>
            <w:tcBorders>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p>
        </w:tc>
        <w:tc>
          <w:tcPr>
            <w:tcW w:w="3001" w:type="dxa"/>
            <w:vMerge/>
            <w:tcBorders>
              <w:left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HERVENTA,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$588,450.00</w:t>
            </w:r>
          </w:p>
        </w:tc>
      </w:tr>
      <w:tr w:rsidR="006F416D" w:rsidRPr="000919FC" w:rsidTr="001D6610">
        <w:tblPrEx>
          <w:tblCellMar>
            <w:top w:w="0" w:type="dxa"/>
            <w:bottom w:w="0" w:type="dxa"/>
          </w:tblCellMar>
        </w:tblPrEx>
        <w:trPr>
          <w:trHeight w:val="20"/>
        </w:trPr>
        <w:tc>
          <w:tcPr>
            <w:tcW w:w="427"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p>
        </w:tc>
        <w:tc>
          <w:tcPr>
            <w:tcW w:w="3001"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HERDEZ,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$686,525.00</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10</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DON JUAN</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GONDI,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$1,954,720.00</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11</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EL INSPECTOR V.01 LOS IMPECABLES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ATENTO ATENCIÓN Y SERVICIOS,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$500,000.00</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12</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BAJO LA MIRADA DE LAS MOSCAS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PROMOTORA INBURSA,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$1,783,726.31</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13</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LA CIÉNEGA DE LAS GARZAS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LABORATORIOS HORMONA, S.A.P.I.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$850,000.00</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t>14</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NORESTE</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ISUZU MOTORS DE MÉXICO, S. DE R.L.</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$1,200,000.00</w:t>
            </w:r>
          </w:p>
        </w:tc>
      </w:tr>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6"/>
              </w:rPr>
            </w:pPr>
            <w:r w:rsidRPr="000919FC">
              <w:rPr>
                <w:sz w:val="16"/>
                <w:szCs w:val="16"/>
              </w:rPr>
              <w:lastRenderedPageBreak/>
              <w:t>15</w:t>
            </w:r>
          </w:p>
        </w:tc>
        <w:tc>
          <w:tcPr>
            <w:tcW w:w="3001"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6"/>
              </w:rPr>
            </w:pPr>
            <w:r w:rsidRPr="000919FC">
              <w:rPr>
                <w:b/>
                <w:sz w:val="16"/>
                <w:szCs w:val="16"/>
              </w:rPr>
              <w:t>CONSTELACIONES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6"/>
              </w:rPr>
            </w:pPr>
            <w:r w:rsidRPr="000919FC">
              <w:rPr>
                <w:sz w:val="16"/>
                <w:szCs w:val="16"/>
              </w:rPr>
              <w:t>PATRIMONIAL INBURSA, S.A.</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6"/>
              </w:rPr>
            </w:pPr>
            <w:r w:rsidRPr="000919FC">
              <w:rPr>
                <w:sz w:val="16"/>
                <w:szCs w:val="16"/>
              </w:rPr>
              <w:t>$1,587,139.11</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center"/>
              <w:rPr>
                <w:sz w:val="16"/>
                <w:szCs w:val="18"/>
              </w:rPr>
            </w:pPr>
            <w:r w:rsidRPr="000919FC">
              <w:rPr>
                <w:sz w:val="16"/>
                <w:szCs w:val="18"/>
              </w:rPr>
              <w:t>16</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b/>
                <w:sz w:val="16"/>
                <w:szCs w:val="18"/>
              </w:rPr>
            </w:pPr>
            <w:r w:rsidRPr="000919FC">
              <w:rPr>
                <w:b/>
                <w:sz w:val="16"/>
                <w:szCs w:val="18"/>
              </w:rPr>
              <w:t>PASIÓN</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rPr>
                <w:sz w:val="16"/>
                <w:szCs w:val="18"/>
              </w:rPr>
            </w:pPr>
            <w:r w:rsidRPr="000919FC">
              <w:rPr>
                <w:sz w:val="16"/>
                <w:szCs w:val="18"/>
              </w:rPr>
              <w:t>DACOMSA,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before="20" w:after="80" w:line="240" w:lineRule="auto"/>
              <w:ind w:firstLine="0"/>
              <w:jc w:val="right"/>
              <w:rPr>
                <w:sz w:val="16"/>
                <w:szCs w:val="18"/>
              </w:rPr>
            </w:pPr>
            <w:r w:rsidRPr="000919FC">
              <w:rPr>
                <w:sz w:val="16"/>
                <w:szCs w:val="18"/>
              </w:rPr>
              <w:t>$2,000,000.00</w:t>
            </w:r>
          </w:p>
        </w:tc>
      </w:tr>
    </w:tbl>
    <w:p w:rsidR="006F416D" w:rsidRDefault="006F416D" w:rsidP="006F416D">
      <w:pPr>
        <w:pStyle w:val="Texto"/>
        <w:spacing w:line="20" w:lineRule="exact"/>
      </w:pPr>
    </w:p>
    <w:tbl>
      <w:tblPr>
        <w:tblW w:w="8712" w:type="dxa"/>
        <w:tblInd w:w="144" w:type="dxa"/>
        <w:tblLayout w:type="fixed"/>
        <w:tblCellMar>
          <w:left w:w="43" w:type="dxa"/>
          <w:right w:w="43" w:type="dxa"/>
        </w:tblCellMar>
        <w:tblLook w:val="0000"/>
      </w:tblPr>
      <w:tblGrid>
        <w:gridCol w:w="418"/>
        <w:gridCol w:w="9"/>
        <w:gridCol w:w="3001"/>
        <w:gridCol w:w="3877"/>
        <w:gridCol w:w="1407"/>
      </w:tblGrid>
      <w:tr w:rsidR="006F416D" w:rsidRPr="000919FC" w:rsidTr="001D6610">
        <w:tblPrEx>
          <w:tblCellMar>
            <w:top w:w="0" w:type="dxa"/>
            <w:bottom w:w="0" w:type="dxa"/>
          </w:tblCellMar>
        </w:tblPrEx>
        <w:trPr>
          <w:trHeight w:val="20"/>
        </w:trPr>
        <w:tc>
          <w:tcPr>
            <w:tcW w:w="427"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after="80" w:line="214" w:lineRule="exact"/>
              <w:ind w:firstLine="0"/>
              <w:jc w:val="center"/>
              <w:rPr>
                <w:b/>
                <w:sz w:val="16"/>
                <w:szCs w:val="16"/>
              </w:rPr>
            </w:pPr>
            <w:r w:rsidRPr="000919FC">
              <w:rPr>
                <w:b/>
                <w:sz w:val="16"/>
                <w:szCs w:val="16"/>
              </w:rPr>
              <w:t>No.</w:t>
            </w:r>
          </w:p>
        </w:tc>
        <w:tc>
          <w:tcPr>
            <w:tcW w:w="3001" w:type="dxa"/>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after="80" w:line="214" w:lineRule="exact"/>
              <w:ind w:firstLine="0"/>
              <w:jc w:val="center"/>
              <w:rPr>
                <w:b/>
                <w:sz w:val="16"/>
                <w:szCs w:val="16"/>
              </w:rPr>
            </w:pPr>
            <w:r w:rsidRPr="000919FC">
              <w:rPr>
                <w:b/>
                <w:sz w:val="16"/>
                <w:szCs w:val="16"/>
              </w:rPr>
              <w:t>Proyecto de inversión</w:t>
            </w:r>
          </w:p>
        </w:tc>
        <w:tc>
          <w:tcPr>
            <w:tcW w:w="3877" w:type="dxa"/>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after="80" w:line="214" w:lineRule="exact"/>
              <w:ind w:firstLine="0"/>
              <w:jc w:val="center"/>
              <w:rPr>
                <w:b/>
                <w:sz w:val="16"/>
                <w:szCs w:val="16"/>
              </w:rPr>
            </w:pPr>
            <w:r w:rsidRPr="000919FC">
              <w:rPr>
                <w:b/>
                <w:sz w:val="16"/>
                <w:szCs w:val="16"/>
              </w:rPr>
              <w:t xml:space="preserve">Contribuyente </w:t>
            </w:r>
            <w:proofErr w:type="spellStart"/>
            <w:r w:rsidRPr="000919FC">
              <w:rPr>
                <w:b/>
                <w:sz w:val="16"/>
                <w:szCs w:val="16"/>
              </w:rPr>
              <w:t>Aportante</w:t>
            </w:r>
            <w:proofErr w:type="spellEnd"/>
          </w:p>
        </w:tc>
        <w:tc>
          <w:tcPr>
            <w:tcW w:w="1407" w:type="dxa"/>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after="80" w:line="214" w:lineRule="exact"/>
              <w:ind w:firstLine="0"/>
              <w:jc w:val="center"/>
              <w:rPr>
                <w:b/>
                <w:sz w:val="16"/>
                <w:szCs w:val="16"/>
              </w:rPr>
            </w:pPr>
            <w:r w:rsidRPr="000919FC">
              <w:rPr>
                <w:b/>
                <w:sz w:val="16"/>
                <w:szCs w:val="16"/>
              </w:rPr>
              <w:t>Monto del estímulo otorgado</w:t>
            </w:r>
          </w:p>
        </w:tc>
      </w:tr>
      <w:tr w:rsidR="006F416D" w:rsidRPr="000919FC" w:rsidTr="001D6610">
        <w:tblPrEx>
          <w:tblCellMar>
            <w:top w:w="0" w:type="dxa"/>
            <w:bottom w:w="0" w:type="dxa"/>
          </w:tblCellMar>
        </w:tblPrEx>
        <w:trPr>
          <w:trHeight w:val="20"/>
        </w:trPr>
        <w:tc>
          <w:tcPr>
            <w:tcW w:w="418"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17</w:t>
            </w:r>
          </w:p>
        </w:tc>
        <w:tc>
          <w:tcPr>
            <w:tcW w:w="3010"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MI PAPÁ NO ES SANTO NI ENMASCARADO DE PLATA</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AZNETWORK, S.C.</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$440,000.00</w:t>
            </w:r>
          </w:p>
        </w:tc>
      </w:tr>
      <w:tr w:rsidR="006F416D" w:rsidRPr="000919FC" w:rsidTr="001D6610">
        <w:tblPrEx>
          <w:tblCellMar>
            <w:top w:w="0" w:type="dxa"/>
            <w:bottom w:w="0" w:type="dxa"/>
          </w:tblCellMar>
        </w:tblPrEx>
        <w:trPr>
          <w:trHeight w:val="20"/>
        </w:trPr>
        <w:tc>
          <w:tcPr>
            <w:tcW w:w="418"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p>
        </w:tc>
        <w:tc>
          <w:tcPr>
            <w:tcW w:w="3010"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PRODUCCIONES AZTECA DIGITAL,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$83,449.70</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18</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LA VISITA DEL ÁNGEL</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PENSIONES INBURSA S.A., GRUPO FINANCIERO INBURSA</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$1,797,747.39</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19</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DELIRIUM POLLUM</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EL PUERTO DE LIVERPOOL, S.A.B.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$1,641,864.00</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20</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MILAGROS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SERVICIOS LIVERPOOL,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$237,000.00</w:t>
            </w:r>
          </w:p>
        </w:tc>
      </w:tr>
      <w:tr w:rsidR="006F416D" w:rsidRPr="000919FC" w:rsidTr="001D6610">
        <w:tblPrEx>
          <w:tblCellMar>
            <w:top w:w="0" w:type="dxa"/>
            <w:bottom w:w="0" w:type="dxa"/>
          </w:tblCellMar>
        </w:tblPrEx>
        <w:trPr>
          <w:trHeight w:val="20"/>
        </w:trPr>
        <w:tc>
          <w:tcPr>
            <w:tcW w:w="418"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21</w:t>
            </w:r>
          </w:p>
        </w:tc>
        <w:tc>
          <w:tcPr>
            <w:tcW w:w="3010"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TESTOSTERONA</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EDITORIAL PORRÚA,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$748,595.93</w:t>
            </w:r>
          </w:p>
        </w:tc>
      </w:tr>
      <w:tr w:rsidR="006F416D" w:rsidRPr="000919FC" w:rsidTr="001D6610">
        <w:tblPrEx>
          <w:tblCellMar>
            <w:top w:w="0" w:type="dxa"/>
            <w:bottom w:w="0" w:type="dxa"/>
          </w:tblCellMar>
        </w:tblPrEx>
        <w:trPr>
          <w:trHeight w:val="20"/>
        </w:trPr>
        <w:tc>
          <w:tcPr>
            <w:tcW w:w="418"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p>
        </w:tc>
        <w:tc>
          <w:tcPr>
            <w:tcW w:w="3010"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LIBRERÍA DE PORRÚA HERMANOS Y COMPAÑÍA,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$734,364.07</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22</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MAMÁ, TE VOY A DEMANDAR</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BODEGAS LA NEGRITA,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$841,208.18</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23</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CABORCA</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EMPAQUES PLEGADIZOS MODERNOS,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$1,500,000.00</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24</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ALARCONEANDO</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INTERNACIONAL DE CERÁMICA, S.A.B.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$400,000.00</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25</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CINCUENTA PALABRAS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TERRA NETWORKS MÉXICO,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$1,962,253.87</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26</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LLUVIA DE ALEGRÍAS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LABORATORIOS HORMONA, S.A.P.I.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$1,041,115.62</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27</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DIVINO PASTOR GÓNGORA</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 xml:space="preserve">TIENDAS DEPARTAMENTALES LIVERPOOL, S.A. DE C.V. </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$1,095,559.14</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28</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LAS ANALFABETAS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OPERADORA LIVERPOOL MÉXICO,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$1,280,463.16</w:t>
            </w:r>
          </w:p>
        </w:tc>
      </w:tr>
      <w:tr w:rsidR="006F416D" w:rsidRPr="000919FC" w:rsidTr="001D6610">
        <w:tblPrEx>
          <w:tblCellMar>
            <w:top w:w="0" w:type="dxa"/>
            <w:bottom w:w="0" w:type="dxa"/>
          </w:tblCellMar>
        </w:tblPrEx>
        <w:trPr>
          <w:trHeight w:val="20"/>
        </w:trPr>
        <w:tc>
          <w:tcPr>
            <w:tcW w:w="418"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29</w:t>
            </w:r>
          </w:p>
        </w:tc>
        <w:tc>
          <w:tcPr>
            <w:tcW w:w="3010"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CABARET MORTAL</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NATURAMA TOURS ADVENTURES,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$128,894.00</w:t>
            </w:r>
          </w:p>
        </w:tc>
      </w:tr>
      <w:tr w:rsidR="006F416D" w:rsidRPr="000919FC" w:rsidTr="001D6610">
        <w:tblPrEx>
          <w:tblCellMar>
            <w:top w:w="0" w:type="dxa"/>
            <w:bottom w:w="0" w:type="dxa"/>
          </w:tblCellMar>
        </w:tblPrEx>
        <w:trPr>
          <w:trHeight w:val="20"/>
        </w:trPr>
        <w:tc>
          <w:tcPr>
            <w:tcW w:w="418" w:type="dxa"/>
            <w:vMerge/>
            <w:tcBorders>
              <w:left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p>
        </w:tc>
        <w:tc>
          <w:tcPr>
            <w:tcW w:w="3010" w:type="dxa"/>
            <w:gridSpan w:val="2"/>
            <w:vMerge/>
            <w:tcBorders>
              <w:left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OPERADORA TURÍSTICA CORPORATIVA,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$1,288,940.00</w:t>
            </w:r>
          </w:p>
        </w:tc>
      </w:tr>
      <w:tr w:rsidR="006F416D" w:rsidRPr="000919FC" w:rsidTr="001D6610">
        <w:tblPrEx>
          <w:tblCellMar>
            <w:top w:w="0" w:type="dxa"/>
            <w:bottom w:w="0" w:type="dxa"/>
          </w:tblCellMar>
        </w:tblPrEx>
        <w:trPr>
          <w:trHeight w:val="20"/>
        </w:trPr>
        <w:tc>
          <w:tcPr>
            <w:tcW w:w="418"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p>
        </w:tc>
        <w:tc>
          <w:tcPr>
            <w:tcW w:w="3010"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OPERADORA XCARET,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$128,894.00</w:t>
            </w:r>
          </w:p>
        </w:tc>
      </w:tr>
      <w:tr w:rsidR="006F416D" w:rsidRPr="000919FC" w:rsidTr="001D6610">
        <w:tblPrEx>
          <w:tblCellMar>
            <w:top w:w="0" w:type="dxa"/>
            <w:bottom w:w="0" w:type="dxa"/>
          </w:tblCellMar>
        </w:tblPrEx>
        <w:trPr>
          <w:trHeight w:val="20"/>
        </w:trPr>
        <w:tc>
          <w:tcPr>
            <w:tcW w:w="418"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30</w:t>
            </w:r>
          </w:p>
        </w:tc>
        <w:tc>
          <w:tcPr>
            <w:tcW w:w="3010"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PUNTA COMETA</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S.C.I. DE MÉXICO,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$1,023,014.59</w:t>
            </w:r>
          </w:p>
        </w:tc>
      </w:tr>
      <w:tr w:rsidR="006F416D" w:rsidRPr="000919FC" w:rsidTr="001D6610">
        <w:tblPrEx>
          <w:tblCellMar>
            <w:top w:w="0" w:type="dxa"/>
            <w:bottom w:w="0" w:type="dxa"/>
          </w:tblCellMar>
        </w:tblPrEx>
        <w:trPr>
          <w:trHeight w:val="20"/>
        </w:trPr>
        <w:tc>
          <w:tcPr>
            <w:tcW w:w="418"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p>
        </w:tc>
        <w:tc>
          <w:tcPr>
            <w:tcW w:w="3010"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SERVICIOS PRODUCTIVOS DE TELEVISIÓN,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$111,601.59</w:t>
            </w:r>
          </w:p>
        </w:tc>
      </w:tr>
      <w:tr w:rsidR="006F416D" w:rsidRPr="000919FC" w:rsidTr="001D6610">
        <w:tblPrEx>
          <w:tblCellMar>
            <w:top w:w="0" w:type="dxa"/>
            <w:bottom w:w="0" w:type="dxa"/>
          </w:tblCellMar>
        </w:tblPrEx>
        <w:trPr>
          <w:trHeight w:val="20"/>
        </w:trPr>
        <w:tc>
          <w:tcPr>
            <w:tcW w:w="418"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31</w:t>
            </w:r>
          </w:p>
        </w:tc>
        <w:tc>
          <w:tcPr>
            <w:tcW w:w="3010"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LA GATA SOBRE EL TEJADO CALIENTE</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ATENTO SERVICIOS,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$974,526.32</w:t>
            </w:r>
          </w:p>
        </w:tc>
      </w:tr>
      <w:tr w:rsidR="006F416D" w:rsidRPr="000919FC" w:rsidTr="001D6610">
        <w:tblPrEx>
          <w:tblCellMar>
            <w:top w:w="0" w:type="dxa"/>
            <w:bottom w:w="0" w:type="dxa"/>
          </w:tblCellMar>
        </w:tblPrEx>
        <w:trPr>
          <w:trHeight w:val="20"/>
        </w:trPr>
        <w:tc>
          <w:tcPr>
            <w:tcW w:w="418"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p>
        </w:tc>
        <w:tc>
          <w:tcPr>
            <w:tcW w:w="3010"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INVERSORA BURSÁTIL, S.A. DE C.V. CASA DE BOLSA, GRUPO FINANCIERO INBURSA</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$974,526.31</w:t>
            </w:r>
          </w:p>
        </w:tc>
      </w:tr>
      <w:tr w:rsidR="006F416D" w:rsidRPr="000919FC" w:rsidTr="001D6610">
        <w:tblPrEx>
          <w:tblCellMar>
            <w:top w:w="0" w:type="dxa"/>
            <w:bottom w:w="0" w:type="dxa"/>
          </w:tblCellMar>
        </w:tblPrEx>
        <w:trPr>
          <w:trHeight w:val="20"/>
        </w:trPr>
        <w:tc>
          <w:tcPr>
            <w:tcW w:w="418" w:type="dxa"/>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32</w:t>
            </w:r>
          </w:p>
        </w:tc>
        <w:tc>
          <w:tcPr>
            <w:tcW w:w="3010" w:type="dxa"/>
            <w:gridSpan w:val="2"/>
            <w:vMerge w:val="restart"/>
            <w:tcBorders>
              <w:top w:val="single" w:sz="6" w:space="0" w:color="auto"/>
              <w:left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DUBLIN BY LAMPLIGHT</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ASPEL DE MÉXICO,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$656,056.85</w:t>
            </w:r>
          </w:p>
        </w:tc>
      </w:tr>
      <w:tr w:rsidR="006F416D" w:rsidRPr="000919FC" w:rsidTr="001D6610">
        <w:tblPrEx>
          <w:tblCellMar>
            <w:top w:w="0" w:type="dxa"/>
            <w:bottom w:w="0" w:type="dxa"/>
          </w:tblCellMar>
        </w:tblPrEx>
        <w:trPr>
          <w:trHeight w:val="20"/>
        </w:trPr>
        <w:tc>
          <w:tcPr>
            <w:tcW w:w="418" w:type="dxa"/>
            <w:vMerge/>
            <w:tcBorders>
              <w:left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p>
        </w:tc>
        <w:tc>
          <w:tcPr>
            <w:tcW w:w="3010" w:type="dxa"/>
            <w:gridSpan w:val="2"/>
            <w:vMerge/>
            <w:tcBorders>
              <w:left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GAS NATURAL MÉXICO,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$656,056.85</w:t>
            </w:r>
          </w:p>
        </w:tc>
      </w:tr>
      <w:tr w:rsidR="006F416D" w:rsidRPr="000919FC" w:rsidTr="001D6610">
        <w:tblPrEx>
          <w:tblCellMar>
            <w:top w:w="0" w:type="dxa"/>
            <w:bottom w:w="0" w:type="dxa"/>
          </w:tblCellMar>
        </w:tblPrEx>
        <w:trPr>
          <w:trHeight w:val="20"/>
        </w:trPr>
        <w:tc>
          <w:tcPr>
            <w:tcW w:w="418" w:type="dxa"/>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p>
        </w:tc>
        <w:tc>
          <w:tcPr>
            <w:tcW w:w="3010" w:type="dxa"/>
            <w:gridSpan w:val="2"/>
            <w:vMerge/>
            <w:tcBorders>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lang w:val="en-US"/>
              </w:rPr>
            </w:pPr>
            <w:r w:rsidRPr="000919FC">
              <w:rPr>
                <w:sz w:val="16"/>
                <w:szCs w:val="18"/>
                <w:lang w:val="en-US"/>
              </w:rPr>
              <w:t>U.D. PUBLISHING,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$323,654.72</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33</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ILUMINACIÓN</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TELEVISA,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$1,576,694.73</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34</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INSTRUCCIONES PARA USAR MINIFALDA (MANUAL DE USO)</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INVERSORA BURSÁTIL, S.A. DE C.V. CASA DE BOLSA, GRUPO FINANCIERO INBURSA</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$664,200.00</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35</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BOZAL</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AZNETWORK, S.C.</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$1,436,000.00</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36</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CUANDO HABÍA GRANADAS EN NOVIEMBRE</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 xml:space="preserve">TELEVISORA DE OCCIDENTE, S.A. DE C.V. </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$1,732,543.15</w:t>
            </w:r>
          </w:p>
        </w:tc>
      </w:tr>
      <w:tr w:rsidR="006F416D" w:rsidRPr="000919FC" w:rsidTr="001D6610">
        <w:tblPrEx>
          <w:tblCellMar>
            <w:top w:w="0" w:type="dxa"/>
            <w:bottom w:w="0" w:type="dxa"/>
          </w:tblCellMar>
        </w:tblPrEx>
        <w:trPr>
          <w:trHeight w:val="20"/>
        </w:trPr>
        <w:tc>
          <w:tcPr>
            <w:tcW w:w="418"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center"/>
              <w:rPr>
                <w:sz w:val="16"/>
                <w:szCs w:val="18"/>
              </w:rPr>
            </w:pPr>
            <w:r w:rsidRPr="000919FC">
              <w:rPr>
                <w:sz w:val="16"/>
                <w:szCs w:val="18"/>
              </w:rPr>
              <w:t>37</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b/>
                <w:sz w:val="16"/>
                <w:szCs w:val="18"/>
              </w:rPr>
            </w:pPr>
            <w:r w:rsidRPr="000919FC">
              <w:rPr>
                <w:b/>
                <w:sz w:val="16"/>
                <w:szCs w:val="18"/>
              </w:rPr>
              <w:t>UNA LUNA PARA LOS MALNACIDOS</w:t>
            </w:r>
          </w:p>
        </w:tc>
        <w:tc>
          <w:tcPr>
            <w:tcW w:w="387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rPr>
                <w:sz w:val="16"/>
                <w:szCs w:val="18"/>
              </w:rPr>
            </w:pPr>
            <w:r w:rsidRPr="000919FC">
              <w:rPr>
                <w:sz w:val="16"/>
                <w:szCs w:val="18"/>
              </w:rPr>
              <w:t>SERVICIOS ESPECIALIZADOS TAZ, S.A. DE C.V.</w:t>
            </w:r>
          </w:p>
        </w:tc>
        <w:tc>
          <w:tcPr>
            <w:tcW w:w="1407" w:type="dxa"/>
            <w:tcBorders>
              <w:top w:val="single" w:sz="6" w:space="0" w:color="auto"/>
              <w:left w:val="single" w:sz="6" w:space="0" w:color="auto"/>
              <w:bottom w:val="single" w:sz="6" w:space="0" w:color="auto"/>
              <w:right w:val="single" w:sz="6" w:space="0" w:color="auto"/>
            </w:tcBorders>
            <w:vAlign w:val="center"/>
          </w:tcPr>
          <w:p w:rsidR="006F416D" w:rsidRPr="000919FC" w:rsidRDefault="006F416D" w:rsidP="001D6610">
            <w:pPr>
              <w:pStyle w:val="Texto"/>
              <w:spacing w:after="80" w:line="214" w:lineRule="exact"/>
              <w:ind w:firstLine="0"/>
              <w:jc w:val="right"/>
              <w:rPr>
                <w:sz w:val="16"/>
                <w:szCs w:val="18"/>
              </w:rPr>
            </w:pPr>
            <w:r w:rsidRPr="000919FC">
              <w:rPr>
                <w:sz w:val="16"/>
                <w:szCs w:val="18"/>
              </w:rPr>
              <w:t>$1,473,502.14</w:t>
            </w:r>
          </w:p>
        </w:tc>
      </w:tr>
      <w:tr w:rsidR="006F416D" w:rsidRPr="000919FC" w:rsidTr="001D6610">
        <w:tblPrEx>
          <w:tblCellMar>
            <w:top w:w="0" w:type="dxa"/>
            <w:bottom w:w="0" w:type="dxa"/>
          </w:tblCellMar>
        </w:tblPrEx>
        <w:trPr>
          <w:trHeight w:val="20"/>
        </w:trPr>
        <w:tc>
          <w:tcPr>
            <w:tcW w:w="7305" w:type="dxa"/>
            <w:gridSpan w:val="4"/>
            <w:tcBorders>
              <w:top w:val="single" w:sz="6" w:space="0" w:color="auto"/>
              <w:left w:val="single" w:sz="6" w:space="0" w:color="auto"/>
              <w:bottom w:val="single" w:sz="6" w:space="0" w:color="auto"/>
              <w:right w:val="single" w:sz="6" w:space="0" w:color="000000"/>
            </w:tcBorders>
            <w:shd w:val="clear" w:color="000000" w:fill="C0C0C0"/>
            <w:vAlign w:val="center"/>
          </w:tcPr>
          <w:p w:rsidR="006F416D" w:rsidRPr="000919FC" w:rsidRDefault="006F416D" w:rsidP="001D6610">
            <w:pPr>
              <w:pStyle w:val="Texto"/>
              <w:spacing w:after="80" w:line="214" w:lineRule="exact"/>
              <w:ind w:firstLine="0"/>
              <w:jc w:val="center"/>
              <w:rPr>
                <w:b/>
                <w:sz w:val="16"/>
                <w:szCs w:val="18"/>
              </w:rPr>
            </w:pPr>
            <w:r w:rsidRPr="000919FC">
              <w:rPr>
                <w:b/>
                <w:sz w:val="16"/>
                <w:szCs w:val="18"/>
              </w:rPr>
              <w:t>TOTAL</w:t>
            </w:r>
          </w:p>
        </w:tc>
        <w:tc>
          <w:tcPr>
            <w:tcW w:w="1407" w:type="dxa"/>
            <w:tcBorders>
              <w:top w:val="single" w:sz="6" w:space="0" w:color="auto"/>
              <w:left w:val="single" w:sz="6" w:space="0" w:color="auto"/>
              <w:bottom w:val="single" w:sz="6" w:space="0" w:color="auto"/>
              <w:right w:val="single" w:sz="6" w:space="0" w:color="auto"/>
            </w:tcBorders>
            <w:shd w:val="clear" w:color="000000" w:fill="C0C0C0"/>
            <w:vAlign w:val="center"/>
          </w:tcPr>
          <w:p w:rsidR="006F416D" w:rsidRPr="000919FC" w:rsidRDefault="006F416D" w:rsidP="001D6610">
            <w:pPr>
              <w:pStyle w:val="Texto"/>
              <w:spacing w:after="80" w:line="214" w:lineRule="exact"/>
              <w:ind w:firstLine="0"/>
              <w:jc w:val="right"/>
              <w:rPr>
                <w:b/>
                <w:sz w:val="16"/>
                <w:szCs w:val="18"/>
              </w:rPr>
            </w:pPr>
            <w:r w:rsidRPr="000919FC">
              <w:rPr>
                <w:b/>
                <w:sz w:val="16"/>
                <w:szCs w:val="18"/>
              </w:rPr>
              <w:t xml:space="preserve">$48,283,576.00 </w:t>
            </w:r>
          </w:p>
        </w:tc>
      </w:tr>
    </w:tbl>
    <w:p w:rsidR="006F416D" w:rsidRPr="006332AC" w:rsidRDefault="006F416D" w:rsidP="006F416D">
      <w:pPr>
        <w:pStyle w:val="Texto"/>
        <w:spacing w:after="80" w:line="214" w:lineRule="exact"/>
        <w:rPr>
          <w:szCs w:val="18"/>
        </w:rPr>
      </w:pPr>
    </w:p>
    <w:p w:rsidR="006F416D" w:rsidRPr="006332AC" w:rsidRDefault="006F416D" w:rsidP="006F416D">
      <w:pPr>
        <w:pStyle w:val="Texto"/>
        <w:spacing w:after="80" w:line="214" w:lineRule="exact"/>
        <w:rPr>
          <w:szCs w:val="18"/>
        </w:rPr>
      </w:pPr>
      <w:r>
        <w:rPr>
          <w:szCs w:val="18"/>
        </w:rPr>
        <w:lastRenderedPageBreak/>
        <w:t>Atentamente,</w:t>
      </w:r>
    </w:p>
    <w:p w:rsidR="006F416D" w:rsidRPr="000919FC" w:rsidRDefault="006F416D" w:rsidP="006F416D">
      <w:pPr>
        <w:pStyle w:val="Texto"/>
        <w:spacing w:after="80" w:line="214" w:lineRule="exact"/>
        <w:rPr>
          <w:b/>
          <w:szCs w:val="18"/>
        </w:rPr>
      </w:pPr>
      <w:r w:rsidRPr="006332AC">
        <w:rPr>
          <w:szCs w:val="18"/>
        </w:rPr>
        <w:t>Ciudad de México a 19 de febrero de 2016</w:t>
      </w:r>
      <w:r>
        <w:rPr>
          <w:szCs w:val="18"/>
        </w:rPr>
        <w:t xml:space="preserve">.- El </w:t>
      </w:r>
      <w:r w:rsidRPr="006332AC">
        <w:rPr>
          <w:szCs w:val="18"/>
        </w:rPr>
        <w:t>Representante Titular del Instituto Nacional de Bellas Artes y Literatura</w:t>
      </w:r>
      <w:r>
        <w:rPr>
          <w:szCs w:val="18"/>
        </w:rPr>
        <w:t xml:space="preserve">, </w:t>
      </w:r>
      <w:r w:rsidRPr="006332AC">
        <w:rPr>
          <w:b/>
          <w:szCs w:val="18"/>
        </w:rPr>
        <w:t>María Cristina García Cepeda</w:t>
      </w:r>
      <w:r>
        <w:rPr>
          <w:szCs w:val="18"/>
        </w:rPr>
        <w:t xml:space="preserve">.- Rúbrica.- El </w:t>
      </w:r>
      <w:r w:rsidRPr="006332AC">
        <w:rPr>
          <w:szCs w:val="18"/>
        </w:rPr>
        <w:t>Representante Titular de la Secretaría de Cultura</w:t>
      </w:r>
      <w:r w:rsidRPr="000919FC">
        <w:rPr>
          <w:szCs w:val="18"/>
        </w:rPr>
        <w:t xml:space="preserve">, </w:t>
      </w:r>
      <w:r w:rsidRPr="006332AC">
        <w:rPr>
          <w:b/>
          <w:szCs w:val="18"/>
        </w:rPr>
        <w:t>Luis Norberto Cacho Pérez</w:t>
      </w:r>
      <w:r>
        <w:rPr>
          <w:szCs w:val="18"/>
        </w:rPr>
        <w:t xml:space="preserve">.- Rúbrica.- El </w:t>
      </w:r>
      <w:r w:rsidRPr="006332AC">
        <w:rPr>
          <w:szCs w:val="18"/>
        </w:rPr>
        <w:t>Representante Suplente de la Secretaría de</w:t>
      </w:r>
      <w:r>
        <w:rPr>
          <w:szCs w:val="18"/>
        </w:rPr>
        <w:t xml:space="preserve"> </w:t>
      </w:r>
      <w:r w:rsidRPr="006332AC">
        <w:rPr>
          <w:szCs w:val="18"/>
        </w:rPr>
        <w:t>Hacienda y Crédito Público</w:t>
      </w:r>
      <w:r>
        <w:rPr>
          <w:szCs w:val="18"/>
        </w:rPr>
        <w:t xml:space="preserve">, </w:t>
      </w:r>
      <w:r w:rsidRPr="006332AC">
        <w:rPr>
          <w:b/>
          <w:szCs w:val="18"/>
        </w:rPr>
        <w:t>Rodrigo Barros Reyes Retana</w:t>
      </w:r>
      <w:r w:rsidRPr="000919FC">
        <w:rPr>
          <w:szCs w:val="18"/>
        </w:rPr>
        <w:t>.- Rúbrica</w:t>
      </w:r>
      <w:r>
        <w:rPr>
          <w:szCs w:val="18"/>
        </w:rPr>
        <w:t>.</w:t>
      </w:r>
    </w:p>
    <w:p w:rsidR="00A015BC" w:rsidRDefault="003669D5"/>
    <w:sectPr w:rsidR="00A015BC" w:rsidSect="00E613B4">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D5" w:rsidRDefault="003669D5" w:rsidP="006F416D">
      <w:r>
        <w:separator/>
      </w:r>
    </w:p>
  </w:endnote>
  <w:endnote w:type="continuationSeparator" w:id="0">
    <w:p w:rsidR="003669D5" w:rsidRDefault="003669D5" w:rsidP="006F4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D5" w:rsidRDefault="003669D5" w:rsidP="006F416D">
      <w:r>
        <w:separator/>
      </w:r>
    </w:p>
  </w:footnote>
  <w:footnote w:type="continuationSeparator" w:id="0">
    <w:p w:rsidR="003669D5" w:rsidRDefault="003669D5" w:rsidP="006F416D">
      <w:r>
        <w:continuationSeparator/>
      </w:r>
    </w:p>
  </w:footnote>
  <w:footnote w:id="1">
    <w:p w:rsidR="006F416D" w:rsidRPr="000919FC" w:rsidRDefault="006F416D" w:rsidP="006F416D">
      <w:pPr>
        <w:pStyle w:val="Textonotapie"/>
        <w:jc w:val="both"/>
        <w:rPr>
          <w:rFonts w:ascii="Arial" w:hAnsi="Arial" w:cs="Arial"/>
          <w:sz w:val="14"/>
          <w:szCs w:val="14"/>
        </w:rPr>
      </w:pPr>
      <w:r w:rsidRPr="003345FC">
        <w:rPr>
          <w:rStyle w:val="Refdenotaalpie"/>
          <w:sz w:val="18"/>
          <w:szCs w:val="18"/>
        </w:rPr>
        <w:footnoteRef/>
      </w:r>
      <w:r w:rsidRPr="002E6D39">
        <w:rPr>
          <w:rFonts w:ascii="Arial" w:hAnsi="Arial" w:cs="Arial"/>
          <w:sz w:val="14"/>
          <w:szCs w:val="14"/>
          <w:vertAlign w:val="superscript"/>
          <w:lang w:val="es-MX"/>
        </w:rPr>
        <w:t xml:space="preserve"> </w:t>
      </w:r>
      <w:r w:rsidRPr="000919FC">
        <w:rPr>
          <w:rFonts w:ascii="Arial" w:hAnsi="Arial" w:cs="Arial"/>
          <w:sz w:val="14"/>
          <w:szCs w:val="14"/>
          <w:lang w:val="es-MX"/>
        </w:rPr>
        <w:t xml:space="preserve">De conformidad con el artículo 190, fracción II de la Ley del Impuesto sobre la Renta, el monto total del estímulo fiscal a proyectos de inversión en la producción teatral nacional a distribuir entre los aspirantes al mismo, no debe exceder de 50 millones de pesos por cada ejercicio fiscal, monto que durante el ejercicio fiscal de 2015 se asignó en su totalidad. Sin embargo, con posterioridad a la asignación del estímulo fiscal, con fecha 25 de septiembre de 2015, un contribuyente </w:t>
      </w:r>
      <w:proofErr w:type="spellStart"/>
      <w:r w:rsidRPr="000919FC">
        <w:rPr>
          <w:rFonts w:ascii="Arial" w:hAnsi="Arial" w:cs="Arial"/>
          <w:sz w:val="14"/>
          <w:szCs w:val="14"/>
          <w:lang w:val="es-MX"/>
        </w:rPr>
        <w:t>aportante</w:t>
      </w:r>
      <w:proofErr w:type="spellEnd"/>
      <w:r w:rsidRPr="000919FC">
        <w:rPr>
          <w:rFonts w:ascii="Arial" w:hAnsi="Arial" w:cs="Arial"/>
          <w:sz w:val="14"/>
          <w:szCs w:val="14"/>
          <w:lang w:val="es-MX"/>
        </w:rPr>
        <w:t xml:space="preserve"> declinó la aplicación del estímulo fiscal que se le autorizó por un total de $1</w:t>
      </w:r>
      <w:proofErr w:type="gramStart"/>
      <w:r w:rsidRPr="000919FC">
        <w:rPr>
          <w:rFonts w:ascii="Arial" w:hAnsi="Arial" w:cs="Arial"/>
          <w:sz w:val="14"/>
          <w:szCs w:val="14"/>
          <w:lang w:val="es-MX"/>
        </w:rPr>
        <w:t>,716,424.00</w:t>
      </w:r>
      <w:proofErr w:type="gramEnd"/>
      <w:r w:rsidRPr="000919FC">
        <w:rPr>
          <w:rFonts w:ascii="Arial" w:hAnsi="Arial" w:cs="Arial"/>
          <w:sz w:val="14"/>
          <w:szCs w:val="14"/>
          <w:lang w:val="es-MX"/>
        </w:rPr>
        <w:t xml:space="preserve"> (Un millón setecientos dieciséis mil cuatrocientos veinticuatro pesos 00/100 M.N</w:t>
      </w:r>
      <w:r>
        <w:rPr>
          <w:rFonts w:ascii="Arial" w:hAnsi="Arial" w:cs="Arial"/>
          <w:sz w:val="14"/>
          <w:szCs w:val="14"/>
          <w:lang w:val="es-MX"/>
        </w:rPr>
        <w:t>.</w:t>
      </w:r>
      <w:r w:rsidRPr="000919FC">
        <w:rPr>
          <w:rFonts w:ascii="Arial" w:hAnsi="Arial" w:cs="Arial"/>
          <w:sz w:val="14"/>
          <w:szCs w:val="14"/>
          <w:lang w:val="es-MX"/>
        </w:rPr>
        <w:t>), por lo que el monto final distribuido tuvo un ajuste para quedar en la cantidad que se presenta en este Acuerdo.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6D" w:rsidRPr="00787470" w:rsidRDefault="006F416D" w:rsidP="006F416D">
    <w:pPr>
      <w:pStyle w:val="Fechas"/>
      <w:rPr>
        <w:rFonts w:cs="Times New Roman"/>
      </w:rPr>
    </w:pPr>
    <w:r>
      <w:rPr>
        <w:rFonts w:cs="Times New Roman"/>
      </w:rPr>
      <w:t xml:space="preserve"> </w:t>
    </w:r>
    <w:r w:rsidRPr="00787470">
      <w:rPr>
        <w:rFonts w:cs="Times New Roman"/>
      </w:rPr>
      <w:t xml:space="preserve">     (Primera Sección)</w:t>
    </w:r>
    <w:r w:rsidRPr="00787470">
      <w:rPr>
        <w:rFonts w:cs="Times New Roman"/>
      </w:rPr>
      <w:tab/>
      <w:t>DIARIO OFICIAL</w:t>
    </w:r>
    <w:r w:rsidRPr="00787470">
      <w:rPr>
        <w:rFonts w:cs="Times New Roman"/>
      </w:rPr>
      <w:tab/>
    </w:r>
    <w:proofErr w:type="gramStart"/>
    <w:r w:rsidRPr="00787470">
      <w:rPr>
        <w:rFonts w:cs="Times New Roman"/>
      </w:rPr>
      <w:t>Lunes</w:t>
    </w:r>
    <w:proofErr w:type="gramEnd"/>
    <w:r w:rsidRPr="00787470">
      <w:rPr>
        <w:rFonts w:cs="Times New Roman"/>
      </w:rPr>
      <w:t xml:space="preserve"> 29 de febrero de 2016</w:t>
    </w:r>
  </w:p>
  <w:p w:rsidR="006F416D" w:rsidRPr="006F416D" w:rsidRDefault="006F416D">
    <w:pPr>
      <w:pStyle w:val="Encabezado"/>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416D"/>
    <w:rsid w:val="00211C5E"/>
    <w:rsid w:val="003669D5"/>
    <w:rsid w:val="006F416D"/>
    <w:rsid w:val="00B779C8"/>
    <w:rsid w:val="00E613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F416D"/>
    <w:pPr>
      <w:spacing w:after="101" w:line="216" w:lineRule="exact"/>
      <w:ind w:firstLine="288"/>
      <w:jc w:val="both"/>
    </w:pPr>
    <w:rPr>
      <w:rFonts w:ascii="Arial" w:hAnsi="Arial" w:cs="Arial"/>
      <w:sz w:val="18"/>
      <w:szCs w:val="20"/>
    </w:rPr>
  </w:style>
  <w:style w:type="paragraph" w:customStyle="1" w:styleId="Titulo1">
    <w:name w:val="Titulo 1"/>
    <w:basedOn w:val="Texto"/>
    <w:rsid w:val="006F4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F416D"/>
    <w:pPr>
      <w:pBdr>
        <w:top w:val="double" w:sz="6" w:space="1" w:color="auto"/>
      </w:pBdr>
      <w:spacing w:line="240" w:lineRule="auto"/>
      <w:ind w:firstLine="0"/>
      <w:outlineLvl w:val="1"/>
    </w:pPr>
    <w:rPr>
      <w:lang w:val="es-MX"/>
    </w:rPr>
  </w:style>
  <w:style w:type="character" w:customStyle="1" w:styleId="TextoCar">
    <w:name w:val="Texto Car"/>
    <w:link w:val="Texto"/>
    <w:locked/>
    <w:rsid w:val="006F416D"/>
    <w:rPr>
      <w:rFonts w:ascii="Arial" w:eastAsia="Times New Roman" w:hAnsi="Arial" w:cs="Arial"/>
      <w:sz w:val="18"/>
      <w:szCs w:val="20"/>
      <w:lang w:val="es-ES" w:eastAsia="es-ES"/>
    </w:rPr>
  </w:style>
  <w:style w:type="paragraph" w:styleId="Textonotapie">
    <w:name w:val="footnote text"/>
    <w:basedOn w:val="Normal"/>
    <w:link w:val="TextonotapieCar"/>
    <w:rsid w:val="006F416D"/>
    <w:rPr>
      <w:sz w:val="20"/>
      <w:szCs w:val="20"/>
      <w:lang w:eastAsia="es-MX"/>
    </w:rPr>
  </w:style>
  <w:style w:type="character" w:customStyle="1" w:styleId="TextonotapieCar">
    <w:name w:val="Texto nota pie Car"/>
    <w:basedOn w:val="Fuentedeprrafopredeter"/>
    <w:link w:val="Textonotapie"/>
    <w:rsid w:val="006F416D"/>
    <w:rPr>
      <w:rFonts w:ascii="Times New Roman" w:eastAsia="Times New Roman" w:hAnsi="Times New Roman" w:cs="Times New Roman"/>
      <w:sz w:val="20"/>
      <w:szCs w:val="20"/>
      <w:lang w:val="es-ES" w:eastAsia="es-MX"/>
    </w:rPr>
  </w:style>
  <w:style w:type="character" w:styleId="Refdenotaalpie">
    <w:name w:val="footnote reference"/>
    <w:rsid w:val="006F416D"/>
    <w:rPr>
      <w:vertAlign w:val="superscript"/>
    </w:rPr>
  </w:style>
  <w:style w:type="paragraph" w:styleId="Encabezado">
    <w:name w:val="header"/>
    <w:basedOn w:val="Normal"/>
    <w:link w:val="EncabezadoCar"/>
    <w:uiPriority w:val="99"/>
    <w:semiHidden/>
    <w:unhideWhenUsed/>
    <w:rsid w:val="006F416D"/>
    <w:pPr>
      <w:tabs>
        <w:tab w:val="center" w:pos="4419"/>
        <w:tab w:val="right" w:pos="8838"/>
      </w:tabs>
    </w:pPr>
  </w:style>
  <w:style w:type="character" w:customStyle="1" w:styleId="EncabezadoCar">
    <w:name w:val="Encabezado Car"/>
    <w:basedOn w:val="Fuentedeprrafopredeter"/>
    <w:link w:val="Encabezado"/>
    <w:uiPriority w:val="99"/>
    <w:semiHidden/>
    <w:rsid w:val="006F41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6F416D"/>
    <w:pPr>
      <w:tabs>
        <w:tab w:val="center" w:pos="4419"/>
        <w:tab w:val="right" w:pos="8838"/>
      </w:tabs>
    </w:pPr>
  </w:style>
  <w:style w:type="character" w:customStyle="1" w:styleId="PiedepginaCar">
    <w:name w:val="Pie de página Car"/>
    <w:basedOn w:val="Fuentedeprrafopredeter"/>
    <w:link w:val="Piedepgina"/>
    <w:uiPriority w:val="99"/>
    <w:semiHidden/>
    <w:rsid w:val="006F416D"/>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6F416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3B7BFB-5E0F-4EDB-8549-EC83AB3E016C}"/>
</file>

<file path=customXml/itemProps2.xml><?xml version="1.0" encoding="utf-8"?>
<ds:datastoreItem xmlns:ds="http://schemas.openxmlformats.org/officeDocument/2006/customXml" ds:itemID="{CF66EEF8-1158-42D7-A953-B996EDCA4266}"/>
</file>

<file path=customXml/itemProps3.xml><?xml version="1.0" encoding="utf-8"?>
<ds:datastoreItem xmlns:ds="http://schemas.openxmlformats.org/officeDocument/2006/customXml" ds:itemID="{42BE6EAC-873D-4AA9-BF08-CF3AE8AF41CA}"/>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4593</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2016-02-29T14:36:00Z</dcterms:created>
  <dcterms:modified xsi:type="dcterms:W3CDTF">2016-02-29T14:38:00Z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179500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