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B2D" w:rsidRPr="00BE59DD" w:rsidRDefault="00741B2D" w:rsidP="00741B2D">
      <w:pPr>
        <w:pStyle w:val="Titulo1"/>
        <w:rPr>
          <w:rFonts w:cs="Times New Roman"/>
        </w:rPr>
      </w:pPr>
      <w:r w:rsidRPr="00BE59DD">
        <w:rPr>
          <w:rFonts w:cs="Times New Roman"/>
        </w:rPr>
        <w:t>MODIFICACIÓN a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w:t>
      </w:r>
    </w:p>
    <w:p w:rsidR="00741B2D" w:rsidRPr="00BE59DD" w:rsidRDefault="00741B2D" w:rsidP="00741B2D">
      <w:pPr>
        <w:pStyle w:val="Titulo2"/>
      </w:pPr>
      <w:r w:rsidRPr="00BE59DD">
        <w:t>Al margen un sello con el Escudo Nacional, que dice: Estados Unidos Mexicanos.- Secretaría de Hacienda y Crédito Público.</w:t>
      </w:r>
    </w:p>
    <w:p w:rsidR="00741B2D" w:rsidRPr="00F35E84" w:rsidRDefault="00741B2D" w:rsidP="00741B2D">
      <w:pPr>
        <w:pStyle w:val="Texto"/>
        <w:spacing w:after="40" w:line="215" w:lineRule="exact"/>
        <w:rPr>
          <w:b/>
          <w:sz w:val="16"/>
          <w:szCs w:val="16"/>
        </w:rPr>
      </w:pPr>
      <w:r w:rsidRPr="00F35E84">
        <w:rPr>
          <w:b/>
          <w:sz w:val="16"/>
          <w:szCs w:val="16"/>
        </w:rPr>
        <w:t>MODIFICACIÓN A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w:t>
      </w:r>
    </w:p>
    <w:p w:rsidR="00741B2D" w:rsidRPr="005716C5" w:rsidRDefault="00741B2D" w:rsidP="00741B2D">
      <w:pPr>
        <w:pStyle w:val="Texto"/>
        <w:spacing w:after="40" w:line="215" w:lineRule="exact"/>
        <w:rPr>
          <w:szCs w:val="24"/>
        </w:rPr>
      </w:pPr>
      <w:r w:rsidRPr="00F35E84">
        <w:rPr>
          <w:szCs w:val="24"/>
        </w:rPr>
        <w:t>SALVADOR UGALDE MANCILLA</w:t>
      </w:r>
      <w:r w:rsidRPr="005716C5">
        <w:rPr>
          <w:szCs w:val="24"/>
        </w:rPr>
        <w:t>, Titular de la Unidad de Ingresos sobre Hidrocarburos de la Secretaría de Hacienda y Crédito Público, con fundamento en los artículos 16, 19, 24, segundo párrafo, 28, fracciones III y IV, 32, 36, 37, apartado B, fracciones I y II, 40, sexto párrafo, 41, tercer párrafo, 43, 44, segundo párrafo, 47 fracciones I y II, y 49, cuarto párrafo, de la Ley de Ingresos sobre Hidrocarburos; 1 y 32 del Reglamento de la Ley de Ingresos sobre Hidrocarburos y 60, fracción IX, del Reglamento Interior de la Secretaría de Hacienda</w:t>
      </w:r>
      <w:r>
        <w:rPr>
          <w:szCs w:val="24"/>
        </w:rPr>
        <w:t xml:space="preserve"> </w:t>
      </w:r>
      <w:r w:rsidRPr="005716C5">
        <w:rPr>
          <w:szCs w:val="24"/>
        </w:rPr>
        <w:t>y Crédito Público, y</w:t>
      </w:r>
    </w:p>
    <w:p w:rsidR="00741B2D" w:rsidRPr="005716C5" w:rsidRDefault="00741B2D" w:rsidP="00741B2D">
      <w:pPr>
        <w:pStyle w:val="ANOTACION"/>
        <w:spacing w:after="40" w:line="215" w:lineRule="exact"/>
      </w:pPr>
      <w:r w:rsidRPr="005716C5">
        <w:t>CONSIDERANDO</w:t>
      </w:r>
    </w:p>
    <w:p w:rsidR="00741B2D" w:rsidRPr="005716C5" w:rsidRDefault="00741B2D" w:rsidP="00741B2D">
      <w:pPr>
        <w:pStyle w:val="Texto"/>
        <w:spacing w:after="40" w:line="215" w:lineRule="exact"/>
        <w:rPr>
          <w:szCs w:val="24"/>
        </w:rPr>
      </w:pPr>
      <w:r w:rsidRPr="005716C5">
        <w:rPr>
          <w:szCs w:val="24"/>
        </w:rPr>
        <w:t>Que el 6 de marzo de 2015, se publicaron en el Diario Oficial de la Federación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cuya finalidad es otorgar certeza jurídica a los Contratistas y Asignatarios, así como al Estado, respecto a las normas y obligaciones que deban cumplirse en la administración financiera de los Contratos y de los derechos sobre hidrocarburos en las Asignaciones, con lo cual se reducirán las disputas o controversias futuras, agilizando los procedimientos y evitando litigios innecesarios entre las partes, y</w:t>
      </w:r>
    </w:p>
    <w:p w:rsidR="00741B2D" w:rsidRPr="005716C5" w:rsidRDefault="00741B2D" w:rsidP="00741B2D">
      <w:pPr>
        <w:pStyle w:val="Texto"/>
        <w:spacing w:after="40" w:line="215" w:lineRule="exact"/>
        <w:rPr>
          <w:szCs w:val="24"/>
        </w:rPr>
      </w:pPr>
      <w:r w:rsidRPr="005716C5">
        <w:rPr>
          <w:szCs w:val="24"/>
        </w:rPr>
        <w:t>Que de la revisión de los procesos y actividades asociados a la exploración y extracción de los hidrocarburos se observa la necesidad de precisar y establecer el alcance de los procedimientos que deberán cumplir el Contratista o Asignatario en los presentes Lineamientos, he tenido a bien expedir los siguientes</w:t>
      </w:r>
    </w:p>
    <w:p w:rsidR="00741B2D" w:rsidRPr="005716C5" w:rsidRDefault="00741B2D" w:rsidP="00741B2D">
      <w:pPr>
        <w:pStyle w:val="ANOTACION"/>
        <w:spacing w:after="40" w:line="215" w:lineRule="exact"/>
      </w:pPr>
      <w:r w:rsidRPr="005716C5">
        <w:t>LINEAMIENTOS</w:t>
      </w:r>
    </w:p>
    <w:p w:rsidR="00741B2D" w:rsidRPr="005716C5" w:rsidRDefault="00741B2D" w:rsidP="00741B2D">
      <w:pPr>
        <w:pStyle w:val="Texto"/>
        <w:spacing w:after="40" w:line="215" w:lineRule="exact"/>
        <w:rPr>
          <w:szCs w:val="24"/>
        </w:rPr>
      </w:pPr>
      <w:r w:rsidRPr="005716C5">
        <w:rPr>
          <w:szCs w:val="24"/>
        </w:rPr>
        <w:t xml:space="preserve">Se </w:t>
      </w:r>
      <w:r w:rsidRPr="005716C5">
        <w:rPr>
          <w:b/>
          <w:szCs w:val="24"/>
        </w:rPr>
        <w:t>REFORMAN</w:t>
      </w:r>
      <w:r w:rsidRPr="005716C5">
        <w:rPr>
          <w:szCs w:val="24"/>
        </w:rPr>
        <w:t xml:space="preserve"> los numerales 1, fracción I, segundo párrafo; 3,</w:t>
      </w:r>
      <w:r w:rsidRPr="005716C5">
        <w:t xml:space="preserve"> </w:t>
      </w:r>
      <w:r w:rsidRPr="005716C5">
        <w:rPr>
          <w:szCs w:val="24"/>
        </w:rPr>
        <w:t>en su tabla; la denominación del Capítulo II; 5; 6, primer párrafo; 7; 8, párrafos primero, segundo</w:t>
      </w:r>
      <w:r w:rsidRPr="005716C5">
        <w:t xml:space="preserve"> </w:t>
      </w:r>
      <w:r w:rsidRPr="005716C5">
        <w:rPr>
          <w:szCs w:val="24"/>
        </w:rPr>
        <w:t xml:space="preserve">y en su tabla, tercero, cuarto y sexto; 9; la denominación de la Sección IV del Capítulo II; 10, primer párrafo, fracciones IV y VI, inciso a), </w:t>
      </w:r>
      <w:proofErr w:type="spellStart"/>
      <w:r w:rsidRPr="005716C5">
        <w:rPr>
          <w:szCs w:val="24"/>
        </w:rPr>
        <w:t>subinciso</w:t>
      </w:r>
      <w:proofErr w:type="spellEnd"/>
      <w:r w:rsidRPr="005716C5">
        <w:rPr>
          <w:szCs w:val="24"/>
        </w:rPr>
        <w:t xml:space="preserve"> </w:t>
      </w:r>
      <w:proofErr w:type="spellStart"/>
      <w:r w:rsidRPr="005716C5">
        <w:rPr>
          <w:szCs w:val="24"/>
        </w:rPr>
        <w:t>iii</w:t>
      </w:r>
      <w:proofErr w:type="spellEnd"/>
      <w:r w:rsidRPr="005716C5">
        <w:rPr>
          <w:szCs w:val="24"/>
        </w:rPr>
        <w:t xml:space="preserve">; </w:t>
      </w:r>
      <w:r>
        <w:rPr>
          <w:szCs w:val="24"/>
        </w:rPr>
        <w:t xml:space="preserve"> </w:t>
      </w:r>
      <w:r w:rsidRPr="005716C5">
        <w:rPr>
          <w:szCs w:val="24"/>
        </w:rPr>
        <w:t xml:space="preserve">la denominación de la Sección V del Capítulo II; 11, primer párrafo; la denominación de la Sección VI del Capítulo II; 12; 13; la denominación de la Sección VII del Capítulo II; 14, segundo, cuarto y quinto párrafos; 15, primer párrafo, fracciones l, ll, VI, VII, IX, X, XIV, XVI, XVIII y XX; 17; 18; 20; 21; 22; 23, primer párrafo; 24; 25; 26, primer párrafo; 27; 28; 29; 30; 31; 32, primer párrafo y sus fracciones I y III; la denominación de la Sección II del Capítulo III; 33; 34, primer párrafo; 35, párrafos tercero, fracciones I, II y III, quinto, sexto y décimo primero; 36, primer párrafo, fracciones I, II, primer párrafo, y III; 37, primer párrafo; 38; 42, primer párrafo; 43; 45, último párrafo; 47; 48, segundo y tercero párrafos; 49, primer párrafo; 56, segundo párrafo; 60; 70, tercero párrafo y 78; se </w:t>
      </w:r>
      <w:r w:rsidRPr="005716C5">
        <w:rPr>
          <w:b/>
          <w:szCs w:val="24"/>
        </w:rPr>
        <w:t>ADICIONAN</w:t>
      </w:r>
      <w:r w:rsidRPr="005716C5">
        <w:rPr>
          <w:szCs w:val="24"/>
        </w:rPr>
        <w:t xml:space="preserve"> al numeral 15, una fracción XV, pasando la actual XV a ser la XVI, recorriendo las subsecuentes en su orden, y la fracción XIX pasando la actual XVIII a ser la XX, recorriéndose las subsecuentes en su orden; al numeral 23, segundo y tercer párrafos; al numeral 34 un segundo párrafo; al numeral 37, un segundo párrafo; y se </w:t>
      </w:r>
      <w:r w:rsidRPr="005716C5">
        <w:rPr>
          <w:b/>
          <w:szCs w:val="24"/>
        </w:rPr>
        <w:t>DEROGA</w:t>
      </w:r>
      <w:r w:rsidRPr="005716C5">
        <w:rPr>
          <w:szCs w:val="24"/>
        </w:rPr>
        <w:t xml:space="preserve"> el primer párrafo del numeral 14; el segundo párrafo del numeral 26; las fracciones I y II, y último párrafo del numeral 33; décimo párrafo del numeral 35; los actuales segundo, tercero cuarto y quinto párrafos del numeral 37, todos de los Lineamientos para la elaboración y presentación de los costos, gastos e inversiones; la procura de bienes y servicios en los contratos</w:t>
      </w:r>
      <w:r>
        <w:rPr>
          <w:szCs w:val="24"/>
        </w:rPr>
        <w:t xml:space="preserve"> </w:t>
      </w:r>
      <w:r w:rsidRPr="005716C5">
        <w:rPr>
          <w:szCs w:val="24"/>
        </w:rPr>
        <w:t>y asignaciones; la verificación contable y financiera de los contratos, y la actualización de regalías en contratos y del derecho de extracción de hidrocarburos publicados en el Diario Oficial de la Federación el 6 de marzo de 2015, para quedar como sigue:</w:t>
      </w:r>
    </w:p>
    <w:p w:rsidR="00741B2D" w:rsidRPr="005716C5" w:rsidRDefault="00741B2D" w:rsidP="00741B2D">
      <w:pPr>
        <w:pStyle w:val="Texto"/>
        <w:spacing w:after="40" w:line="215" w:lineRule="exact"/>
        <w:rPr>
          <w:szCs w:val="24"/>
        </w:rPr>
      </w:pPr>
      <w:r w:rsidRPr="005716C5">
        <w:rPr>
          <w:b/>
          <w:szCs w:val="24"/>
        </w:rPr>
        <w:t>1</w:t>
      </w:r>
      <w:r w:rsidRPr="00F35E84">
        <w:rPr>
          <w:b/>
          <w:szCs w:val="24"/>
        </w:rPr>
        <w:t>.…</w:t>
      </w:r>
    </w:p>
    <w:p w:rsidR="00741B2D" w:rsidRPr="00F35E84" w:rsidRDefault="00741B2D" w:rsidP="00741B2D">
      <w:pPr>
        <w:pStyle w:val="INCISO"/>
        <w:spacing w:after="40" w:line="215" w:lineRule="exact"/>
        <w:rPr>
          <w:b/>
        </w:rPr>
      </w:pPr>
      <w:proofErr w:type="gramStart"/>
      <w:r w:rsidRPr="00F35E84">
        <w:rPr>
          <w:b/>
        </w:rPr>
        <w:t>I.</w:t>
      </w:r>
      <w:proofErr w:type="gramEnd"/>
      <w:r w:rsidRPr="00F35E84">
        <w:rPr>
          <w:b/>
        </w:rPr>
        <w:tab/>
        <w:t>…</w:t>
      </w:r>
    </w:p>
    <w:p w:rsidR="00741B2D" w:rsidRPr="005716C5" w:rsidRDefault="00741B2D" w:rsidP="00741B2D">
      <w:pPr>
        <w:pStyle w:val="INCISO"/>
        <w:spacing w:after="40" w:line="215" w:lineRule="exact"/>
      </w:pPr>
      <w:r>
        <w:tab/>
      </w:r>
      <w:r w:rsidRPr="005716C5">
        <w:t xml:space="preserve">Para efectos de los artículos 31, fracción II, de la Ley de Ingresos sobre Hidrocarburos y 6, fracción II, de la Ley General de Sociedades Mercantiles, el Contratista deberá tener por objeto exclusivamente la Exploración y Extracción de Hidrocarburos, sin perjuicio de que puedan realizar las actividades que requieran para la consecución del mismo, entre otras, la contratación, adquisición y arrendamiento de equipos o materiales, así como la realización de cualquier acto jurídico, incluyendo los de comercio. Estos actos podrán comprender la </w:t>
      </w:r>
      <w:r w:rsidRPr="005716C5">
        <w:lastRenderedPageBreak/>
        <w:t>enajenación de Hidrocarburos que se obtengan al amparo de un Contrato, sin que ello implique la realización de las actividades contempladas en el Título Tercero de la Ley de Hidrocarburos, y</w:t>
      </w:r>
    </w:p>
    <w:p w:rsidR="00741B2D" w:rsidRPr="00F35E84" w:rsidRDefault="00741B2D" w:rsidP="00741B2D">
      <w:pPr>
        <w:pStyle w:val="INCISO"/>
        <w:spacing w:after="40" w:line="215" w:lineRule="exact"/>
        <w:rPr>
          <w:b/>
        </w:rPr>
      </w:pPr>
      <w:r w:rsidRPr="00F35E84">
        <w:rPr>
          <w:b/>
        </w:rPr>
        <w:t>II.…</w:t>
      </w:r>
    </w:p>
    <w:p w:rsidR="00741B2D" w:rsidRPr="00F35E84" w:rsidRDefault="00741B2D" w:rsidP="00741B2D">
      <w:pPr>
        <w:pStyle w:val="Texto"/>
        <w:spacing w:after="60"/>
        <w:rPr>
          <w:b/>
          <w:szCs w:val="24"/>
        </w:rPr>
      </w:pPr>
      <w:r w:rsidRPr="005716C5">
        <w:rPr>
          <w:b/>
          <w:szCs w:val="24"/>
        </w:rPr>
        <w:t>3</w:t>
      </w:r>
      <w:r w:rsidRPr="00F35E84">
        <w:rPr>
          <w:b/>
          <w:szCs w:val="24"/>
        </w:rPr>
        <w:t>.…</w:t>
      </w:r>
    </w:p>
    <w:tbl>
      <w:tblPr>
        <w:tblW w:w="8712" w:type="dxa"/>
        <w:tblInd w:w="144" w:type="dxa"/>
        <w:tblLayout w:type="fixed"/>
        <w:tblCellMar>
          <w:left w:w="72" w:type="dxa"/>
          <w:right w:w="72" w:type="dxa"/>
        </w:tblCellMar>
        <w:tblLook w:val="0000"/>
      </w:tblPr>
      <w:tblGrid>
        <w:gridCol w:w="1779"/>
        <w:gridCol w:w="6933"/>
      </w:tblGrid>
      <w:tr w:rsidR="00741B2D" w:rsidRPr="005716C5" w:rsidTr="00E33B20">
        <w:tblPrEx>
          <w:tblCellMar>
            <w:top w:w="0" w:type="dxa"/>
            <w:bottom w:w="0" w:type="dxa"/>
          </w:tblCellMar>
        </w:tblPrEx>
        <w:trPr>
          <w:trHeight w:val="20"/>
          <w:tblHeader/>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jc w:val="center"/>
              <w:rPr>
                <w:b/>
                <w:szCs w:val="24"/>
              </w:rPr>
            </w:pPr>
            <w:r w:rsidRPr="005716C5">
              <w:rPr>
                <w:b/>
                <w:szCs w:val="24"/>
              </w:rPr>
              <w:t>Término</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jc w:val="center"/>
              <w:rPr>
                <w:b/>
                <w:szCs w:val="24"/>
              </w:rPr>
            </w:pPr>
            <w:r w:rsidRPr="005716C5">
              <w:rPr>
                <w:b/>
                <w:szCs w:val="24"/>
              </w:rPr>
              <w:t>Definición</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Abandono</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La Actividad Petrolera concerniente a las actividades de retiro y desmantelamiento de los Materiales, incluyendo sin limitación, el taponamiento definitivo y abandono de Pozos, el desmontaje y retiro de todas las plantas, plataformas, instalaciones, maquinaria y equipo suministrado o utilizado por el Contratista o Asignatario en la realización de las Actividades Petroleras, así como la restauración ambiental del Área Contractual o Área de Asignación afectada por el Contratista o Asignatario en la realización de las Actividades Petroleras, de conformidad con los presentes Lineamientos, las Mejores Prácticas de la Industria, la Normatividad Aplicable y el Sistema de Administración.</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Actividad Petrolera</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Procesos en los que se puede dividir el Programa de Trabajo aprobado por la CNH en cada Contrato o Asignación.</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Área de Desarrollo</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El área dentro del Área Contractual o Área de Asignación que cubre la totalidad de las estructuras del subsuelo o cierres estratigráficos que definen el yacimiento o el intervalo de interés del Campo donde se llevó a cabo el Descubrimiento.</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Autoridad Gubernamental</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Cualquier órgano gubernamental a nivel federal, estatal o municipal, del poder ejecutivo, legislativo o judicial, incluyendo los órganos constitucionales autónomos del Estado.</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Campo</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Área cuya proyección vertical desde la superficie y profundidad determinadas dentro del Área Contractual o de Asignación, dentro de la cual están localizados uno o más Yacimientos de Hidrocarburos en una o más formaciones en la misma estructura, entidad geológica, posición o condición estratigráfica</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Centro de Costos</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La unidad organizativa que representa un emplazamiento físico u organizacional, claramente delimitado, donde se asignan Costos.</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Costos</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Todas las erogaciones, gastos, inversiones u obligaciones relacionados con las Actividades Petroleras.</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Costos Elegibles</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Los Costos señalados en el numeral 12 de los presentes Lineamientos.</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Costos Recuperables</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Los Costos Elegibles serán recuperables en el Contrato o deducibles para el derecho por la utilidad compartida en las Asignaciones, siempre y cuando se incluyan en los Presupuestos y Programas de Trabajo aprobados por la CNH, que hayan sido efectivamente pagados y que para su determinación y registro cumplan con los presentes Lineamientos.</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Cuenta Operativa</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La Cuenta en la que se registran los Costos incurridos por el Contratista o el Asignatario, conforme al catálogo de cuentas contables publicadas por el FMP.</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CNH</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Comisión Nacional de Hidrocarburos.</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Desarrollo</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La Actividad Petrolera destinada a la perforación de Pozos de producción, su equipamiento y caracterización de Yacimientos, así como la construcción, localización, operación, uso de instalaciones para la producción.</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Descubrimiento</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Cualquier estructura o acumulación o grupo de estructuras o acumulaciones que en las actividades de perforación se haya demostrado que contiene Hidrocarburos que pueden ser extraídos a un flujo medible utilizando las Mejores Prácticas de la Industria, independientemente de que esa detección de Hidrocarburos pueda o no ser considerada comercialmente viable de extraerse, incluyendo la extensión de algún Descubrimiento anterior.</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Dólar</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Dólar de los Estados Unidos de América.</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Estudio de Precios de Transferencia</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60"/>
              <w:ind w:firstLine="0"/>
              <w:rPr>
                <w:szCs w:val="24"/>
              </w:rPr>
            </w:pPr>
            <w:r w:rsidRPr="005716C5">
              <w:rPr>
                <w:szCs w:val="24"/>
              </w:rPr>
              <w:t xml:space="preserve">La información, documentación y/o evidencia con la cual se demuestre que, para efecto de todas las operaciones celebradas con Partes Relacionadas, tanto de residentes en territorio nacional como en el extranjero, dichas operaciones se pactaron a Precios de Mercado, haciendo uso de los métodos establecidos en los presentes Lineamientos y descritos en las Guías sobre Precios de Transferencia </w:t>
            </w:r>
            <w:r w:rsidRPr="005716C5">
              <w:rPr>
                <w:szCs w:val="24"/>
              </w:rPr>
              <w:lastRenderedPageBreak/>
              <w:t>para Empresas Multinacionales y las Administraciones Fiscales, aprobadas por el Consejo de la Organización para la Cooperación y el Desarrollo Económico en 1995, o aquellas que las sustituyan en términos de lo dispuesto en el artículo 30 de la Ley; mismo que incluirá toda la información necesaria para que, en caso de requerirlo, la Secretaría de Hacienda pueda replicar el análisis realizado.</w:t>
            </w:r>
          </w:p>
        </w:tc>
      </w:tr>
    </w:tbl>
    <w:p w:rsidR="00741B2D" w:rsidRPr="00825419" w:rsidRDefault="00741B2D" w:rsidP="00741B2D">
      <w:pPr>
        <w:rPr>
          <w:sz w:val="2"/>
        </w:rPr>
      </w:pPr>
    </w:p>
    <w:tbl>
      <w:tblPr>
        <w:tblW w:w="8712" w:type="dxa"/>
        <w:tblInd w:w="144" w:type="dxa"/>
        <w:tblLayout w:type="fixed"/>
        <w:tblCellMar>
          <w:left w:w="72" w:type="dxa"/>
          <w:right w:w="72" w:type="dxa"/>
        </w:tblCellMar>
        <w:tblLook w:val="0000"/>
      </w:tblPr>
      <w:tblGrid>
        <w:gridCol w:w="1779"/>
        <w:gridCol w:w="6933"/>
      </w:tblGrid>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Evaluación</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La Actividad Petrolera concerniente a las actividades y operaciones llevadas a cabo por el Contratista o Asignatario después de un Descubrimiento para determinar los límites, caracterización y capacidad de producción de algún Descubrimiento, así como para determinar si el Descubrimiento en cuestión es un descubrimiento comercial, incluyendo, sin limitación: (i) actividades adicionales de Reconocimiento y Exploración Superficial y de Exploración; (</w:t>
            </w:r>
            <w:proofErr w:type="spellStart"/>
            <w:r w:rsidRPr="005716C5">
              <w:rPr>
                <w:szCs w:val="24"/>
              </w:rPr>
              <w:t>ii</w:t>
            </w:r>
            <w:proofErr w:type="spellEnd"/>
            <w:r w:rsidRPr="005716C5">
              <w:rPr>
                <w:szCs w:val="24"/>
              </w:rPr>
              <w:t>) estudios geológicos y geofísicos; (</w:t>
            </w:r>
            <w:proofErr w:type="spellStart"/>
            <w:r w:rsidRPr="005716C5">
              <w:rPr>
                <w:szCs w:val="24"/>
              </w:rPr>
              <w:t>iii</w:t>
            </w:r>
            <w:proofErr w:type="spellEnd"/>
            <w:r w:rsidRPr="005716C5">
              <w:rPr>
                <w:szCs w:val="24"/>
              </w:rPr>
              <w:t>) perforación de Pozos de prueba; (</w:t>
            </w:r>
            <w:proofErr w:type="spellStart"/>
            <w:r w:rsidRPr="005716C5">
              <w:rPr>
                <w:szCs w:val="24"/>
              </w:rPr>
              <w:t>iv</w:t>
            </w:r>
            <w:proofErr w:type="spellEnd"/>
            <w:r w:rsidRPr="005716C5">
              <w:rPr>
                <w:szCs w:val="24"/>
              </w:rPr>
              <w:t>) estudios de Reservas y otros estudios, y (v) todas las operaciones auxiliares y actividades requeridas o convenientes para optimizar la conducción o resultado de las actividades anteriormente indicadas.</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Fecha Efectiva</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La fecha a partir de la cual surte efectos el Contrato o Asignación.</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FMP</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El Fondo Mexicano del Petróleo para la Estabilización y el Desarrollo.</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Informe de Conclusión</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Documento donde se señalan los hallazgos, así como las irregularidades y conclusiones que no fueron aclaradas por el Contratista que resultaron de las labores verificación mediante auditoría o visita.</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Informe Parcial de Conclusión</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Documento en el cual de manera preliminar se informarán al Contratista hechos u omisiones que entrañen inconsistencias identificadas durante las labores de verificación en auditoría o visita.</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Instalaciones de Recolección</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Todas las instalaciones y equipos necesarios para pruebas y separación de producción, tanques de almacenamiento, compresores, ductos, bombas y cualquier otro equipo necesario para la recolección de Hidrocarburos.</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Ley</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Ley de Ingresos sobre Hidrocarburos.</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Materiales</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Todas las maquinarias, herramientas, equipos, artículos, suministros, tuberías, plataformas de perforación o producción, artefactos navales, plantas, infraestructura y otras instalaciones adquiridas, suministradas, arrendadas o poseídas de cualquier otra forma para su utilización en las Actividades Petroleras, incluyendo las Instalaciones de Recolección.</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Mejores Prácticas de la Industria</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Las mejores prácticas, métodos, estándares y procedimientos generalmente aceptados y acatados por operadores expertos, prudentes y diligentes, con experiencia en materia de Exploración, Evaluación, Desarrollo, Extracción de Hidrocarburos y Abandono, los cuales, en el ejercicio de un criterio razonable y a la luz de los hechos conocidos al momento de tomar una decisión, se consideraría que obtendrían los resultados planeados e incrementarían los beneficios económicos de la Extracción de los Hidrocarburos dentro del Área Contractual o Área de Asignación, maximizando el factor de recuperación de los Hidrocarburos a lo largo de toda la vida de los Yacimientos, y sin causarles una reducción excesiva de presión o de energía.</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Moneda Extranjera</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Cualquier moneda distinta a la del registro que use el Contratista o el Asignatario.</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Moneda Funcional</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La moneda con la que operará el Contratista y Asignatario en su entorno económico primario.</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Moneda de Informe</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La moneda que el Contratista usará para fines del registro de los Costos Recuperables y el pago de las Contraprestaciones que será, en todos los casos, “Dólar de los Estados Unidos de América”.</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lastRenderedPageBreak/>
              <w:t>Moneda de Registro</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La moneda con la que operará el Contratista y Asignatario en su entorno económico primario.</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Normatividad Aplicable</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line="238" w:lineRule="exact"/>
              <w:ind w:firstLine="0"/>
              <w:rPr>
                <w:szCs w:val="24"/>
              </w:rPr>
            </w:pPr>
            <w:r w:rsidRPr="005716C5">
              <w:rPr>
                <w:szCs w:val="24"/>
              </w:rPr>
              <w:t>Todas las leyes, reglamentos, disposiciones administrativas de carácter general, decretos, órdenes administrativas, sentencias judiciales y demás normas o decisiones de cualquier tipo expedidas por cualquier Autoridad Gubernamental y que se encuentren en vigor en el momento de que se trate.</w:t>
            </w:r>
          </w:p>
        </w:tc>
      </w:tr>
    </w:tbl>
    <w:p w:rsidR="00741B2D" w:rsidRPr="00825419" w:rsidRDefault="00741B2D" w:rsidP="00741B2D">
      <w:pPr>
        <w:rPr>
          <w:sz w:val="2"/>
        </w:rPr>
      </w:pPr>
    </w:p>
    <w:tbl>
      <w:tblPr>
        <w:tblW w:w="8712" w:type="dxa"/>
        <w:tblInd w:w="144" w:type="dxa"/>
        <w:tblLayout w:type="fixed"/>
        <w:tblCellMar>
          <w:left w:w="72" w:type="dxa"/>
          <w:right w:w="72" w:type="dxa"/>
        </w:tblCellMar>
        <w:tblLook w:val="0000"/>
      </w:tblPr>
      <w:tblGrid>
        <w:gridCol w:w="1779"/>
        <w:gridCol w:w="6933"/>
      </w:tblGrid>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t>Partes Relacionadas</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t>Cuando una persona física o moral participa de manera directa o indirecta en la administración, control o capital de la otra, o cuando una persona o grupo de personas participa directa o indirectamente en la administración, control o capital de dichas personas. Tratándose de asociaciones en participación y consorcios, se consideran como partes relacionadas sus integrantes, así como las personas que conforme a este párrafo se consideren partes relacionadas de cada integrante.</w:t>
            </w:r>
          </w:p>
          <w:p w:rsidR="00741B2D" w:rsidRPr="005716C5" w:rsidRDefault="00741B2D" w:rsidP="00E33B20">
            <w:pPr>
              <w:pStyle w:val="Texto"/>
              <w:ind w:firstLine="0"/>
              <w:rPr>
                <w:szCs w:val="24"/>
              </w:rPr>
            </w:pPr>
            <w:r w:rsidRPr="005716C5">
              <w:rPr>
                <w:szCs w:val="24"/>
              </w:rPr>
              <w:t>De igual forma, se consideran Partes Relacionadas de un establecimiento permanente, la casa matriz u otros establecimientos permanentes de la misma.</w:t>
            </w:r>
          </w:p>
          <w:p w:rsidR="00741B2D" w:rsidRPr="005716C5" w:rsidRDefault="00741B2D" w:rsidP="00E33B20">
            <w:pPr>
              <w:pStyle w:val="Texto"/>
              <w:ind w:firstLine="0"/>
              <w:rPr>
                <w:szCs w:val="24"/>
              </w:rPr>
            </w:pPr>
            <w:r w:rsidRPr="005716C5">
              <w:rPr>
                <w:szCs w:val="24"/>
              </w:rPr>
              <w:t>Para efectos de lo previsto en esta definición, se estará a lo establecido en las disposiciones fiscales aplicables.</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t>Plan de Desarrollo</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t>El plan de desarrollo óptimo para la Extracción que contiene un programa de tiempos que especifica las Actividades Petroleras en un área de desarrollo en particular, para lograr la producción comercial regular o incrementar la producción de Hidrocarburos, incluyendo cualquier programa de Recuperación Avanzada.</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t>Plan de Exploración</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t>Un programa que especifica las actividades de Reconocimiento y Exploración Superficial, Exploración y Evaluación a realizarse en el Área Contractual o Área de Asignación, mismo que para los Contratos deberá cumplir cuando menos, con el Programa Mínimo de Trabajo y el Incremento en el Programa Mínimo de Trabajo.</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t>Pozo</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t>Cualquier apertura efectuada en el suelo mediante perforación o cualquier otra forma con el propósito de descubrir, evaluar o extraer Hidrocarburos, o de inyectar cualquier sustancia o de obtener datos relacionados con el Yacimiento.</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t>Precios de Mercado</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t>Aquellos precios o montos de las contraprestaciones que hubieran utilizado el Contratista o Asignatario con o entre partes independientes en operaciones comparables. Cuando existan dos o más operaciones comparables se podrá obtener un rango de precios y montos de las contraprestaciones o el margen de utilidad. Estos rangos se ajustarán mediante la aplicación de métodos estadísticos de acuerdo a los presentes Lineamientos y en apego a las disposiciones fiscales aplicables.</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t>Producción</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t>La Actividad Petrolera destinada a la obtención de Hidrocarburos, la inyección y la estimulación de Yacimientos, la Recuperación Avanzada, la Recolección, el acondicionamiento y separación de Hidrocarburos, la eliminación de agua y sedimentos, dentro del Área Contractual o Área de Asignación.</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t>Presupuesto</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t>Estimación de los Costos de todas las partidas incluidas en un Programa de Trabajo, y que incluye como mínimo el desglose de las partidas presupuestales correspondientes a cada una de las categorías de las Actividades Petroleras.</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t>Programa de Trabajo</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t>Programa pormenorizado que especifique las Actividades Petroleras que serán realizadas por el Contratista o Asignatario durante el período aplicable, incluyendo el tiempo requerido para la realización de cada actividad descrita en dicho programa.</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t>Programa Mínimo de Trabajo</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t>Programa que el Contratista deberá llevar a cabo durante el Período Inicial de Exploración de conformidad a lo establecido en el Contrato respectivo.</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t>Recolección</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t>El acopio de los Hidrocarburos de cada Pozo del Yacimiento una vez que han sido extraídos del subsuelo, mediante un sistema de líneas de descarga que van desde el cabezal de los Pozos hasta las primeras baterías de separación o, en su caso, hasta los sistemas de transporte.</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t xml:space="preserve">Reconocimiento y </w:t>
            </w:r>
            <w:r w:rsidRPr="005716C5">
              <w:rPr>
                <w:szCs w:val="24"/>
              </w:rPr>
              <w:lastRenderedPageBreak/>
              <w:t>Exploración Superficial</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lastRenderedPageBreak/>
              <w:t xml:space="preserve">Todos aquellos estudios de Evaluación que se valen únicamente de actividades </w:t>
            </w:r>
            <w:r w:rsidRPr="005716C5">
              <w:rPr>
                <w:szCs w:val="24"/>
              </w:rPr>
              <w:lastRenderedPageBreak/>
              <w:t>sobre la superficie del terreno o del mar para considerar la posible existencia de Hidrocarburos en el Área Contractual o Área de Asignación, incluyendo los trabajos para la adquisición, así como el procesamiento, reprocesamiento o interpretación de información.</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lastRenderedPageBreak/>
              <w:t>Recuperación Avanzada</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ind w:firstLine="0"/>
              <w:rPr>
                <w:szCs w:val="24"/>
              </w:rPr>
            </w:pPr>
            <w:r w:rsidRPr="005716C5">
              <w:rPr>
                <w:szCs w:val="24"/>
              </w:rPr>
              <w:t>Los procesos de recuperación secundaria o terciaria consistentes con las Mejores Prácticas de la Industria para permitir una mayor recuperación de Hidrocarburos en el Área de Desarrollo, incluyendo, sin limitación, el incremento en la presión del Yacimiento y/o reducción de la viscosidad de los Hidrocarburos.</w:t>
            </w:r>
          </w:p>
        </w:tc>
      </w:tr>
    </w:tbl>
    <w:p w:rsidR="00741B2D" w:rsidRPr="00825419" w:rsidRDefault="00741B2D" w:rsidP="00741B2D">
      <w:pPr>
        <w:rPr>
          <w:sz w:val="2"/>
        </w:rPr>
      </w:pPr>
    </w:p>
    <w:tbl>
      <w:tblPr>
        <w:tblW w:w="8712" w:type="dxa"/>
        <w:tblInd w:w="144" w:type="dxa"/>
        <w:tblLayout w:type="fixed"/>
        <w:tblCellMar>
          <w:left w:w="72" w:type="dxa"/>
          <w:right w:w="72" w:type="dxa"/>
        </w:tblCellMar>
        <w:tblLook w:val="0000"/>
      </w:tblPr>
      <w:tblGrid>
        <w:gridCol w:w="1779"/>
        <w:gridCol w:w="6933"/>
      </w:tblGrid>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94"/>
              <w:ind w:firstLine="0"/>
              <w:rPr>
                <w:szCs w:val="24"/>
              </w:rPr>
            </w:pPr>
            <w:r w:rsidRPr="005716C5">
              <w:rPr>
                <w:szCs w:val="24"/>
              </w:rPr>
              <w:t>Reservas</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94"/>
              <w:ind w:firstLine="0"/>
              <w:rPr>
                <w:szCs w:val="24"/>
              </w:rPr>
            </w:pPr>
            <w:r w:rsidRPr="005716C5">
              <w:rPr>
                <w:szCs w:val="24"/>
              </w:rPr>
              <w:t>El volumen de Hidrocarburos en el Subsuelo calculado a una fecha dada a condiciones atmosféricas, que se estima será producido técnica y económicamente, bajo el régimen fiscal aplicable, con cualquiera de los métodos y sistemas de Extracción aplicables a la fecha de Evaluación.</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94"/>
              <w:ind w:firstLine="0"/>
              <w:rPr>
                <w:szCs w:val="24"/>
              </w:rPr>
            </w:pPr>
            <w:r w:rsidRPr="005716C5">
              <w:rPr>
                <w:szCs w:val="24"/>
              </w:rPr>
              <w:t>Secretaría de Hacienda</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94"/>
              <w:ind w:firstLine="0"/>
              <w:rPr>
                <w:szCs w:val="24"/>
              </w:rPr>
            </w:pPr>
            <w:r w:rsidRPr="005716C5">
              <w:rPr>
                <w:szCs w:val="24"/>
              </w:rPr>
              <w:t>La Secretaría de Hacienda y Crédito Público.</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94"/>
              <w:ind w:firstLine="0"/>
              <w:rPr>
                <w:szCs w:val="24"/>
              </w:rPr>
            </w:pPr>
            <w:r w:rsidRPr="005716C5">
              <w:rPr>
                <w:szCs w:val="24"/>
              </w:rPr>
              <w:t>Sistema de Administración</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94"/>
              <w:ind w:firstLine="0"/>
              <w:rPr>
                <w:szCs w:val="24"/>
              </w:rPr>
            </w:pPr>
            <w:r w:rsidRPr="005716C5">
              <w:rPr>
                <w:szCs w:val="24"/>
              </w:rPr>
              <w:t>El conjunto integral de elementos interrelacionados y documentados cuyo propósito es la prevención, control y mejora del desempeño de una instalación o conjunto de ellas, en materia de seguridad industrial, seguridad operativa y de protección al medio ambiente en el sector que el Contratista o Asignatario deberá implementar en la realización de las Actividades Petroleras, el cual deberá cumplir con los requisitos previstos en los artículos 13, 14 y 16 de la Ley de la Agencia Nacional de Seguridad Industrial y de Protección al Medio Ambiente del Sector Hidrocarburos y demás Normatividad Aplicable.</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94"/>
              <w:ind w:firstLine="0"/>
              <w:rPr>
                <w:szCs w:val="24"/>
              </w:rPr>
            </w:pPr>
            <w:r w:rsidRPr="005716C5">
              <w:rPr>
                <w:szCs w:val="24"/>
              </w:rPr>
              <w:t>Sub-actividad</w:t>
            </w:r>
          </w:p>
          <w:p w:rsidR="00741B2D" w:rsidRPr="005716C5" w:rsidRDefault="00741B2D" w:rsidP="00E33B20">
            <w:pPr>
              <w:pStyle w:val="Texto"/>
              <w:spacing w:after="94"/>
              <w:ind w:firstLine="0"/>
              <w:rPr>
                <w:szCs w:val="24"/>
              </w:rPr>
            </w:pPr>
            <w:r w:rsidRPr="005716C5">
              <w:rPr>
                <w:szCs w:val="24"/>
              </w:rPr>
              <w:t>Petrolera</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94"/>
              <w:ind w:firstLine="0"/>
              <w:rPr>
                <w:szCs w:val="24"/>
              </w:rPr>
            </w:pPr>
            <w:r w:rsidRPr="005716C5">
              <w:rPr>
                <w:szCs w:val="24"/>
              </w:rPr>
              <w:t>Sub-procesos que se llevan a cabo en una Actividad Petrolera conforme al Programa de Trabajo aprobado por la CNH en cada Contrato o Asignación.</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94"/>
              <w:ind w:firstLine="0"/>
              <w:rPr>
                <w:szCs w:val="24"/>
              </w:rPr>
            </w:pPr>
            <w:r w:rsidRPr="005716C5">
              <w:rPr>
                <w:szCs w:val="24"/>
              </w:rPr>
              <w:t>Tarea</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94"/>
              <w:ind w:firstLine="0"/>
              <w:rPr>
                <w:szCs w:val="24"/>
              </w:rPr>
            </w:pPr>
            <w:r w:rsidRPr="005716C5">
              <w:rPr>
                <w:szCs w:val="24"/>
              </w:rPr>
              <w:t>Acciones específicas que se llevan a cabo en una Sub-actividad Petrolera.</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94"/>
              <w:ind w:firstLine="0"/>
              <w:rPr>
                <w:szCs w:val="24"/>
              </w:rPr>
            </w:pPr>
            <w:r w:rsidRPr="005716C5">
              <w:rPr>
                <w:szCs w:val="24"/>
              </w:rPr>
              <w:t>Tercero</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94"/>
              <w:ind w:firstLine="0"/>
              <w:rPr>
                <w:szCs w:val="24"/>
              </w:rPr>
            </w:pPr>
            <w:r w:rsidRPr="005716C5">
              <w:rPr>
                <w:szCs w:val="24"/>
              </w:rPr>
              <w:t>Es aquella persona o entidad que tenga una relación de negocio y que no se considere una parte relacionada de acuerdo con la definición contenida en los presentes Lineamientos.</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94"/>
              <w:ind w:firstLine="0"/>
              <w:rPr>
                <w:szCs w:val="24"/>
              </w:rPr>
            </w:pPr>
            <w:r w:rsidRPr="005716C5">
              <w:rPr>
                <w:szCs w:val="24"/>
              </w:rPr>
              <w:t>Tipo de Cambio Histórico</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94"/>
              <w:ind w:firstLine="0"/>
              <w:rPr>
                <w:szCs w:val="24"/>
              </w:rPr>
            </w:pPr>
            <w:r w:rsidRPr="005716C5">
              <w:rPr>
                <w:szCs w:val="24"/>
              </w:rPr>
              <w:t>Es la relación de cambio entre dos monedas a la fecha de transacción. Para efecto de lo anterior, se considerará el tipo de cambio que el Banco de México publique en el Diario Oficial de la Federación el día hábil anterior a aquél en que se realice la transacción.</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94"/>
              <w:ind w:firstLine="0"/>
              <w:rPr>
                <w:szCs w:val="24"/>
              </w:rPr>
            </w:pPr>
            <w:r w:rsidRPr="005716C5">
              <w:rPr>
                <w:szCs w:val="24"/>
              </w:rPr>
              <w:t>Visitador</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94"/>
              <w:ind w:firstLine="0"/>
              <w:rPr>
                <w:szCs w:val="24"/>
              </w:rPr>
            </w:pPr>
            <w:r w:rsidRPr="005716C5">
              <w:rPr>
                <w:szCs w:val="24"/>
              </w:rPr>
              <w:t>Persona o personas que realicen o ejecuten visitas a los Contratistas, acreditadas para tal efecto por la Secretaría de Hacienda.</w:t>
            </w:r>
          </w:p>
        </w:tc>
      </w:tr>
      <w:tr w:rsidR="00741B2D" w:rsidRPr="005716C5" w:rsidTr="00E33B20">
        <w:tblPrEx>
          <w:tblCellMar>
            <w:top w:w="0" w:type="dxa"/>
            <w:bottom w:w="0" w:type="dxa"/>
          </w:tblCellMar>
        </w:tblPrEx>
        <w:trPr>
          <w:trHeight w:val="20"/>
        </w:trPr>
        <w:tc>
          <w:tcPr>
            <w:tcW w:w="1779"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94"/>
              <w:ind w:firstLine="0"/>
              <w:rPr>
                <w:szCs w:val="24"/>
              </w:rPr>
            </w:pPr>
            <w:r w:rsidRPr="005716C5">
              <w:rPr>
                <w:szCs w:val="24"/>
              </w:rPr>
              <w:t>Yacimiento</w:t>
            </w:r>
          </w:p>
        </w:tc>
        <w:tc>
          <w:tcPr>
            <w:tcW w:w="6933" w:type="dxa"/>
            <w:tcBorders>
              <w:top w:val="single" w:sz="6" w:space="0" w:color="auto"/>
              <w:left w:val="single" w:sz="6" w:space="0" w:color="auto"/>
              <w:bottom w:val="single" w:sz="6" w:space="0" w:color="auto"/>
              <w:right w:val="single" w:sz="6" w:space="0" w:color="auto"/>
            </w:tcBorders>
          </w:tcPr>
          <w:p w:rsidR="00741B2D" w:rsidRPr="005716C5" w:rsidRDefault="00741B2D" w:rsidP="00E33B20">
            <w:pPr>
              <w:pStyle w:val="Texto"/>
              <w:spacing w:after="94"/>
              <w:ind w:firstLine="0"/>
              <w:rPr>
                <w:szCs w:val="24"/>
              </w:rPr>
            </w:pPr>
            <w:r w:rsidRPr="005716C5">
              <w:rPr>
                <w:szCs w:val="24"/>
              </w:rPr>
              <w:t>Un único deposito continuo de Hidrocarburos en un medio poroso y permeable, confinado por un elemento estructural o condición estratigráfica.</w:t>
            </w:r>
          </w:p>
        </w:tc>
      </w:tr>
    </w:tbl>
    <w:p w:rsidR="00741B2D" w:rsidRPr="005716C5" w:rsidRDefault="00741B2D" w:rsidP="00741B2D">
      <w:pPr>
        <w:pStyle w:val="Texto"/>
        <w:spacing w:after="94"/>
        <w:rPr>
          <w:szCs w:val="24"/>
        </w:rPr>
      </w:pPr>
    </w:p>
    <w:p w:rsidR="00741B2D" w:rsidRPr="005716C5" w:rsidRDefault="00741B2D" w:rsidP="00741B2D">
      <w:pPr>
        <w:pStyle w:val="Texto"/>
        <w:spacing w:after="94"/>
        <w:ind w:firstLine="0"/>
        <w:jc w:val="center"/>
        <w:rPr>
          <w:b/>
          <w:szCs w:val="24"/>
        </w:rPr>
      </w:pPr>
      <w:r w:rsidRPr="005716C5">
        <w:rPr>
          <w:b/>
          <w:szCs w:val="24"/>
        </w:rPr>
        <w:t>CAPÍTULO II</w:t>
      </w:r>
    </w:p>
    <w:p w:rsidR="00741B2D" w:rsidRPr="005716C5" w:rsidRDefault="00741B2D" w:rsidP="00741B2D">
      <w:pPr>
        <w:pStyle w:val="Texto"/>
        <w:spacing w:after="94"/>
        <w:ind w:firstLine="0"/>
        <w:jc w:val="center"/>
        <w:rPr>
          <w:b/>
          <w:szCs w:val="24"/>
        </w:rPr>
      </w:pPr>
      <w:r w:rsidRPr="005716C5">
        <w:rPr>
          <w:b/>
          <w:szCs w:val="24"/>
        </w:rPr>
        <w:t xml:space="preserve">De la elaboración de la contabilidad, así como la recuperación o deducción de </w:t>
      </w:r>
      <w:r>
        <w:rPr>
          <w:b/>
          <w:szCs w:val="24"/>
        </w:rPr>
        <w:t xml:space="preserve"> </w:t>
      </w:r>
      <w:r w:rsidRPr="005716C5">
        <w:rPr>
          <w:b/>
          <w:szCs w:val="24"/>
        </w:rPr>
        <w:t>Costos reconocidos en los Contratos o Asignaciones</w:t>
      </w:r>
    </w:p>
    <w:p w:rsidR="00741B2D" w:rsidRPr="005716C5" w:rsidRDefault="00741B2D" w:rsidP="00741B2D">
      <w:pPr>
        <w:pStyle w:val="ROMANOS"/>
        <w:spacing w:after="94"/>
      </w:pPr>
      <w:r w:rsidRPr="005716C5">
        <w:rPr>
          <w:b/>
        </w:rPr>
        <w:t>5.</w:t>
      </w:r>
      <w:r w:rsidRPr="005716C5">
        <w:tab/>
        <w:t>Con independencia de lo establecido en el Código Fiscal de la Federación, el Contratista y el Asignatario deberán mantener la contabilidad, información y documentación relacionada con los Costos en su domicilio fiscal por un plazo de cinco años después de que haya concluido el Contrato o la Asignación.</w:t>
      </w:r>
    </w:p>
    <w:p w:rsidR="00741B2D" w:rsidRPr="005716C5" w:rsidRDefault="00741B2D" w:rsidP="00741B2D">
      <w:pPr>
        <w:pStyle w:val="ROMANOS"/>
        <w:spacing w:after="94"/>
      </w:pPr>
      <w:r w:rsidRPr="005716C5">
        <w:rPr>
          <w:b/>
        </w:rPr>
        <w:t>6.</w:t>
      </w:r>
      <w:r w:rsidRPr="005716C5">
        <w:tab/>
        <w:t>Los Costos relacionados con el objeto del Contrato o Asignación, serán registrados en la Cuenta Operativa en el Periodo que se realicen, de acuerdo al catálogo de cuentas contables publicado por el FMP y a lo señalado en el numeral 8 de los presentes Lineamientos.</w:t>
      </w:r>
    </w:p>
    <w:p w:rsidR="00741B2D" w:rsidRPr="00F35E84" w:rsidRDefault="00741B2D" w:rsidP="00741B2D">
      <w:pPr>
        <w:pStyle w:val="ROMANOS"/>
        <w:spacing w:after="94"/>
        <w:rPr>
          <w:b/>
        </w:rPr>
      </w:pPr>
      <w:r>
        <w:rPr>
          <w:b/>
        </w:rPr>
        <w:tab/>
      </w:r>
      <w:r w:rsidRPr="00F35E84">
        <w:rPr>
          <w:b/>
        </w:rPr>
        <w:t>...</w:t>
      </w:r>
    </w:p>
    <w:p w:rsidR="00741B2D" w:rsidRPr="005716C5" w:rsidRDefault="00741B2D" w:rsidP="00741B2D">
      <w:pPr>
        <w:pStyle w:val="ROMANOS"/>
        <w:spacing w:after="94"/>
      </w:pPr>
      <w:r w:rsidRPr="005716C5">
        <w:rPr>
          <w:b/>
        </w:rPr>
        <w:t>7.</w:t>
      </w:r>
      <w:r w:rsidRPr="005716C5">
        <w:tab/>
        <w:t xml:space="preserve">El Contratista o el Asignatario no podrá duplicar Costos que ya hubieren sido registrados en la Cuenta Operativa. En los casos en que el Contratista o el Asignatario participe en más de un Contrato o Asignación, solamente podrá registrar las cantidades amparadas y/o desglosadas por los </w:t>
      </w:r>
      <w:r w:rsidRPr="005716C5">
        <w:lastRenderedPageBreak/>
        <w:t>Comprobantes Fiscales Digitales por Internet y/o comprobantes de residente en el extranjero correspondientes a los Costos efectivamente pagados para la ejecución de las actividades incurridas en el Contrato o Asignación que se trate.</w:t>
      </w:r>
    </w:p>
    <w:p w:rsidR="00741B2D" w:rsidRPr="005716C5" w:rsidRDefault="00741B2D" w:rsidP="00741B2D">
      <w:pPr>
        <w:pStyle w:val="ROMANOS"/>
        <w:spacing w:after="94"/>
      </w:pPr>
      <w:r w:rsidRPr="005716C5">
        <w:rPr>
          <w:b/>
        </w:rPr>
        <w:t>8.</w:t>
      </w:r>
      <w:r w:rsidRPr="005716C5">
        <w:tab/>
        <w:t>El Contratista o el Asignatario deberá registrar los Costos por rubro de Actividad Petrolera,</w:t>
      </w:r>
      <w:r>
        <w:t xml:space="preserve"> </w:t>
      </w:r>
      <w:r w:rsidRPr="005716C5">
        <w:t>Sub-actividad Petrolera y Tarea</w:t>
      </w:r>
      <w:r w:rsidRPr="005716C5">
        <w:rPr>
          <w:i/>
        </w:rPr>
        <w:t xml:space="preserve">; </w:t>
      </w:r>
      <w:r w:rsidRPr="005716C5">
        <w:t>Centro de Costos; categoría de costo y cuenta contable que para tal efecto se establezca en el sistema informático del FMP, conforme al Programa de Trabajo y Presupuesto autorizados por la CNH.</w:t>
      </w:r>
    </w:p>
    <w:p w:rsidR="00741B2D" w:rsidRPr="005716C5" w:rsidRDefault="00741B2D" w:rsidP="00741B2D">
      <w:pPr>
        <w:pStyle w:val="ROMANOS"/>
        <w:spacing w:after="94"/>
      </w:pPr>
      <w:r>
        <w:tab/>
      </w:r>
      <w:r w:rsidRPr="005716C5">
        <w:t>Respecto a las Actividades Petroleras, Sub-actividades Petroleras y Tareas se deberán incluir, en su caso, los siguientes rubros: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78"/>
        <w:gridCol w:w="1214"/>
        <w:gridCol w:w="6420"/>
      </w:tblGrid>
      <w:tr w:rsidR="00741B2D" w:rsidRPr="00F35E84" w:rsidTr="00E33B20">
        <w:tblPrEx>
          <w:tblCellMar>
            <w:top w:w="0" w:type="dxa"/>
            <w:bottom w:w="0" w:type="dxa"/>
          </w:tblCellMar>
        </w:tblPrEx>
        <w:trPr>
          <w:trHeight w:val="20"/>
          <w:tblHeader/>
        </w:trPr>
        <w:tc>
          <w:tcPr>
            <w:tcW w:w="1078" w:type="dxa"/>
            <w:vAlign w:val="center"/>
          </w:tcPr>
          <w:p w:rsidR="00741B2D" w:rsidRPr="00F35E84" w:rsidRDefault="00741B2D" w:rsidP="00E33B20">
            <w:pPr>
              <w:pStyle w:val="Texto"/>
              <w:spacing w:line="256" w:lineRule="exact"/>
              <w:ind w:firstLine="0"/>
              <w:jc w:val="center"/>
              <w:rPr>
                <w:b/>
                <w:sz w:val="16"/>
                <w:szCs w:val="16"/>
              </w:rPr>
            </w:pPr>
            <w:r w:rsidRPr="00F35E84">
              <w:rPr>
                <w:b/>
                <w:sz w:val="16"/>
                <w:szCs w:val="16"/>
              </w:rPr>
              <w:t>Actividad Petrolera</w:t>
            </w:r>
          </w:p>
        </w:tc>
        <w:tc>
          <w:tcPr>
            <w:tcW w:w="1214" w:type="dxa"/>
            <w:vAlign w:val="center"/>
          </w:tcPr>
          <w:p w:rsidR="00741B2D" w:rsidRPr="00F35E84" w:rsidRDefault="00741B2D" w:rsidP="00E33B20">
            <w:pPr>
              <w:pStyle w:val="Texto"/>
              <w:spacing w:line="256" w:lineRule="exact"/>
              <w:ind w:firstLine="0"/>
              <w:jc w:val="center"/>
              <w:rPr>
                <w:b/>
                <w:sz w:val="16"/>
                <w:szCs w:val="16"/>
              </w:rPr>
            </w:pPr>
            <w:r w:rsidRPr="00F35E84">
              <w:rPr>
                <w:b/>
                <w:sz w:val="16"/>
                <w:szCs w:val="16"/>
              </w:rPr>
              <w:t>Sub-actividad Petrolera</w:t>
            </w:r>
          </w:p>
        </w:tc>
        <w:tc>
          <w:tcPr>
            <w:tcW w:w="6420" w:type="dxa"/>
            <w:vAlign w:val="center"/>
          </w:tcPr>
          <w:p w:rsidR="00741B2D" w:rsidRPr="00F35E84" w:rsidRDefault="00741B2D" w:rsidP="00E33B20">
            <w:pPr>
              <w:pStyle w:val="Texto"/>
              <w:spacing w:line="256" w:lineRule="exact"/>
              <w:ind w:firstLine="0"/>
              <w:jc w:val="center"/>
              <w:rPr>
                <w:b/>
                <w:sz w:val="16"/>
                <w:szCs w:val="16"/>
              </w:rPr>
            </w:pPr>
            <w:r w:rsidRPr="00F35E84">
              <w:rPr>
                <w:b/>
                <w:sz w:val="16"/>
                <w:szCs w:val="16"/>
              </w:rPr>
              <w:t>Tarea</w:t>
            </w:r>
          </w:p>
        </w:tc>
      </w:tr>
      <w:tr w:rsidR="00741B2D" w:rsidRPr="00F35E84" w:rsidTr="00E33B20">
        <w:tblPrEx>
          <w:tblCellMar>
            <w:top w:w="0" w:type="dxa"/>
            <w:bottom w:w="0" w:type="dxa"/>
          </w:tblCellMar>
        </w:tblPrEx>
        <w:trPr>
          <w:trHeight w:val="20"/>
        </w:trPr>
        <w:tc>
          <w:tcPr>
            <w:tcW w:w="1078" w:type="dxa"/>
            <w:vMerge w:val="restart"/>
            <w:shd w:val="clear" w:color="auto" w:fill="FFFFFF"/>
            <w:vAlign w:val="center"/>
          </w:tcPr>
          <w:p w:rsidR="00741B2D" w:rsidRPr="00F35E84" w:rsidRDefault="00741B2D" w:rsidP="00E33B20">
            <w:pPr>
              <w:pStyle w:val="Texto"/>
              <w:spacing w:line="256" w:lineRule="exact"/>
              <w:ind w:firstLine="0"/>
              <w:rPr>
                <w:sz w:val="16"/>
                <w:szCs w:val="16"/>
              </w:rPr>
            </w:pPr>
            <w:r w:rsidRPr="00F35E84">
              <w:rPr>
                <w:sz w:val="16"/>
                <w:szCs w:val="16"/>
              </w:rPr>
              <w:t>Exploración</w:t>
            </w:r>
          </w:p>
        </w:tc>
        <w:tc>
          <w:tcPr>
            <w:tcW w:w="1214" w:type="dxa"/>
            <w:vMerge w:val="restart"/>
            <w:shd w:val="clear" w:color="auto" w:fill="FFFFFF"/>
            <w:vAlign w:val="center"/>
          </w:tcPr>
          <w:p w:rsidR="00741B2D" w:rsidRPr="00F35E84" w:rsidRDefault="00741B2D" w:rsidP="00E33B20">
            <w:pPr>
              <w:pStyle w:val="Texto"/>
              <w:spacing w:line="256" w:lineRule="exact"/>
              <w:ind w:firstLine="0"/>
              <w:rPr>
                <w:sz w:val="16"/>
                <w:szCs w:val="16"/>
              </w:rPr>
            </w:pPr>
            <w:r w:rsidRPr="00F35E84">
              <w:rPr>
                <w:sz w:val="16"/>
                <w:szCs w:val="16"/>
              </w:rPr>
              <w:t>General</w:t>
            </w: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Evaluaciones técnico económicas.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Recopilación de información.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Administración, gestión de actividades y gastos del proyecto.</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Revisión y evaluación de información.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line="256" w:lineRule="exact"/>
              <w:ind w:firstLine="0"/>
              <w:rPr>
                <w:sz w:val="16"/>
                <w:szCs w:val="16"/>
              </w:rPr>
            </w:pPr>
            <w:r w:rsidRPr="00F35E84">
              <w:rPr>
                <w:sz w:val="16"/>
                <w:szCs w:val="16"/>
              </w:rPr>
              <w:t>Geofísica</w:t>
            </w: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 xml:space="preserve">Adquisición sísmica, 2D, 3D, 4D, </w:t>
            </w:r>
            <w:proofErr w:type="spellStart"/>
            <w:r w:rsidRPr="00F35E84">
              <w:rPr>
                <w:sz w:val="16"/>
                <w:szCs w:val="16"/>
              </w:rPr>
              <w:t>multicomponente</w:t>
            </w:r>
            <w:proofErr w:type="spellEnd"/>
            <w:r w:rsidRPr="00F35E84">
              <w:rPr>
                <w:sz w:val="16"/>
                <w:szCs w:val="16"/>
              </w:rPr>
              <w:t>.</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Pre-procesado, procesado, interpretación y re-procesado de datos sísmicos.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 xml:space="preserve">Levantamientos </w:t>
            </w:r>
            <w:proofErr w:type="spellStart"/>
            <w:r w:rsidRPr="00F35E84">
              <w:rPr>
                <w:sz w:val="16"/>
                <w:szCs w:val="16"/>
              </w:rPr>
              <w:t>magnetométricos</w:t>
            </w:r>
            <w:proofErr w:type="spellEnd"/>
            <w:r w:rsidRPr="00F35E84">
              <w:rPr>
                <w:sz w:val="16"/>
                <w:szCs w:val="16"/>
              </w:rPr>
              <w:t>, adquisición, procesado e interpretación.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Levantamientos gravimétricos, adquisición, procesado e interpretación.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line="256" w:lineRule="exact"/>
              <w:ind w:firstLine="0"/>
              <w:rPr>
                <w:sz w:val="16"/>
                <w:szCs w:val="16"/>
              </w:rPr>
            </w:pPr>
            <w:r w:rsidRPr="00F35E84">
              <w:rPr>
                <w:sz w:val="16"/>
                <w:szCs w:val="16"/>
              </w:rPr>
              <w:t>Geología</w:t>
            </w: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Análisis geoquímicos de muestras.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Estudios estratigráficos.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Análisis de Hidrocarburos.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Estudios geológicos regionales.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Estudios geológicos de detalle.</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Estudios petrofísicos.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line="256" w:lineRule="exact"/>
              <w:ind w:firstLine="0"/>
              <w:rPr>
                <w:sz w:val="16"/>
                <w:szCs w:val="16"/>
              </w:rPr>
            </w:pPr>
            <w:r w:rsidRPr="00F35E84">
              <w:rPr>
                <w:sz w:val="16"/>
                <w:szCs w:val="16"/>
              </w:rPr>
              <w:t>Perforación de Pozos</w:t>
            </w: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Preparación de áreas y/o vías de acceso a la localización.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Transporte marítimo y/o aéreo de personal, Materiales y/o equipos.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Servicios de soporte.</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Servicios de perforación de Pozos.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Realización de pruebas de formación.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Suministros y Materiales.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Terminación de Pozos.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line="256" w:lineRule="exact"/>
              <w:ind w:firstLine="0"/>
              <w:rPr>
                <w:sz w:val="16"/>
                <w:szCs w:val="16"/>
              </w:rPr>
            </w:pPr>
            <w:r w:rsidRPr="00F35E84">
              <w:rPr>
                <w:sz w:val="16"/>
                <w:szCs w:val="16"/>
              </w:rPr>
              <w:t>Ingeniería de Yacimientos</w:t>
            </w: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Estimación de recursos prospectivos y estimaciones de producción.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Delimitación de Yacimientos.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Caracterización de Yacimientos.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line="256" w:lineRule="exact"/>
              <w:ind w:firstLine="0"/>
              <w:rPr>
                <w:sz w:val="16"/>
                <w:szCs w:val="16"/>
              </w:rPr>
            </w:pPr>
            <w:r w:rsidRPr="00F35E84">
              <w:rPr>
                <w:sz w:val="16"/>
                <w:szCs w:val="16"/>
              </w:rPr>
              <w:t>Otras Ingenierías</w:t>
            </w: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Ingeniería conceptual.</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shd w:val="clear" w:color="auto" w:fill="FFFFFF"/>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Diseño de instalaciones de superficie.</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shd w:val="clear" w:color="auto" w:fill="FFFFFF"/>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Estudios del fondo marino.</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shd w:val="clear" w:color="auto" w:fill="FFFFFF"/>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Diseño de ductos.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line="256" w:lineRule="exact"/>
              <w:ind w:firstLine="0"/>
              <w:rPr>
                <w:sz w:val="16"/>
                <w:szCs w:val="16"/>
              </w:rPr>
            </w:pPr>
            <w:r w:rsidRPr="00F35E84">
              <w:rPr>
                <w:sz w:val="16"/>
                <w:szCs w:val="16"/>
              </w:rPr>
              <w:t>Seguridad, Salud y Medio Ambiente</w:t>
            </w: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Estudios de impacto ambiental.</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Prevención y detección de incendio y fugas de gas.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Auditorías de seguridad.</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Tratamiento y eliminación de residuos.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Restauración ambiental.</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56" w:lineRule="exact"/>
              <w:ind w:firstLine="0"/>
              <w:rPr>
                <w:sz w:val="16"/>
                <w:szCs w:val="16"/>
              </w:rPr>
            </w:pPr>
          </w:p>
        </w:tc>
        <w:tc>
          <w:tcPr>
            <w:tcW w:w="1214" w:type="dxa"/>
            <w:vMerge/>
            <w:vAlign w:val="center"/>
          </w:tcPr>
          <w:p w:rsidR="00741B2D" w:rsidRPr="00F35E84" w:rsidRDefault="00741B2D" w:rsidP="00E33B20">
            <w:pPr>
              <w:pStyle w:val="Texto"/>
              <w:spacing w:line="256" w:lineRule="exact"/>
              <w:ind w:firstLine="0"/>
              <w:rPr>
                <w:sz w:val="16"/>
                <w:szCs w:val="16"/>
              </w:rPr>
            </w:pPr>
          </w:p>
        </w:tc>
        <w:tc>
          <w:tcPr>
            <w:tcW w:w="6420" w:type="dxa"/>
            <w:vAlign w:val="center"/>
          </w:tcPr>
          <w:p w:rsidR="00741B2D" w:rsidRPr="00F35E84" w:rsidRDefault="00741B2D" w:rsidP="00E33B20">
            <w:pPr>
              <w:pStyle w:val="Texto"/>
              <w:spacing w:line="256" w:lineRule="exact"/>
              <w:ind w:firstLine="0"/>
              <w:rPr>
                <w:sz w:val="16"/>
                <w:szCs w:val="16"/>
              </w:rPr>
            </w:pPr>
            <w:r w:rsidRPr="00F35E84">
              <w:rPr>
                <w:sz w:val="16"/>
                <w:szCs w:val="16"/>
              </w:rPr>
              <w:t>Auditoría ambiental.</w:t>
            </w:r>
          </w:p>
        </w:tc>
      </w:tr>
    </w:tbl>
    <w:p w:rsidR="00741B2D" w:rsidRPr="00825419" w:rsidRDefault="00741B2D" w:rsidP="00741B2D">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78"/>
        <w:gridCol w:w="1214"/>
        <w:gridCol w:w="6420"/>
      </w:tblGrid>
      <w:tr w:rsidR="00741B2D" w:rsidRPr="00F35E84" w:rsidTr="00E33B20">
        <w:tblPrEx>
          <w:tblCellMar>
            <w:top w:w="0" w:type="dxa"/>
            <w:bottom w:w="0" w:type="dxa"/>
          </w:tblCellMar>
        </w:tblPrEx>
        <w:trPr>
          <w:trHeight w:val="20"/>
        </w:trPr>
        <w:tc>
          <w:tcPr>
            <w:tcW w:w="1078" w:type="dxa"/>
            <w:vMerge w:val="restart"/>
            <w:shd w:val="clear" w:color="auto" w:fill="FFFFFF"/>
            <w:vAlign w:val="center"/>
          </w:tcPr>
          <w:p w:rsidR="00741B2D" w:rsidRPr="00F35E84" w:rsidRDefault="00741B2D" w:rsidP="00E33B20">
            <w:pPr>
              <w:pStyle w:val="Texto"/>
              <w:spacing w:line="227" w:lineRule="exact"/>
              <w:ind w:firstLine="0"/>
              <w:rPr>
                <w:sz w:val="16"/>
                <w:szCs w:val="16"/>
              </w:rPr>
            </w:pPr>
            <w:r w:rsidRPr="00F35E84">
              <w:rPr>
                <w:sz w:val="16"/>
                <w:szCs w:val="16"/>
              </w:rPr>
              <w:t>Evaluación</w:t>
            </w:r>
          </w:p>
        </w:tc>
        <w:tc>
          <w:tcPr>
            <w:tcW w:w="1214" w:type="dxa"/>
            <w:vMerge w:val="restart"/>
            <w:shd w:val="clear" w:color="auto" w:fill="FFFFFF"/>
            <w:vAlign w:val="center"/>
          </w:tcPr>
          <w:p w:rsidR="00741B2D" w:rsidRPr="00F35E84" w:rsidRDefault="00741B2D" w:rsidP="00E33B20">
            <w:pPr>
              <w:pStyle w:val="Texto"/>
              <w:spacing w:line="227" w:lineRule="exact"/>
              <w:ind w:firstLine="0"/>
              <w:rPr>
                <w:sz w:val="16"/>
                <w:szCs w:val="16"/>
              </w:rPr>
            </w:pPr>
            <w:r w:rsidRPr="00F35E84">
              <w:rPr>
                <w:sz w:val="16"/>
                <w:szCs w:val="16"/>
              </w:rPr>
              <w:t>General</w:t>
            </w: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Evaluaciones técnico económicas.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Plan de desarrollo con ingeniería básica.</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Administración, gestión de actividades y gastos generales del proyecto.</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line="227" w:lineRule="exact"/>
              <w:ind w:firstLine="0"/>
              <w:rPr>
                <w:sz w:val="16"/>
                <w:szCs w:val="16"/>
              </w:rPr>
            </w:pPr>
            <w:r w:rsidRPr="00F35E84">
              <w:rPr>
                <w:sz w:val="16"/>
                <w:szCs w:val="16"/>
              </w:rPr>
              <w:t>Geofísica</w:t>
            </w: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 xml:space="preserve">Adquisición sísmica, 2D, 3D, 4D, </w:t>
            </w:r>
            <w:proofErr w:type="spellStart"/>
            <w:r w:rsidRPr="00F35E84">
              <w:rPr>
                <w:sz w:val="16"/>
                <w:szCs w:val="16"/>
              </w:rPr>
              <w:t>multicomponente</w:t>
            </w:r>
            <w:proofErr w:type="spellEnd"/>
            <w:r w:rsidRPr="00F35E84">
              <w:rPr>
                <w:sz w:val="16"/>
                <w:szCs w:val="16"/>
              </w:rPr>
              <w:t>.</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shd w:val="clear" w:color="auto" w:fill="FFFFFF"/>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Pre-procesado, procesado, interpretación y re-procesado de datos sísmicos.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shd w:val="clear" w:color="auto" w:fill="FFFFFF"/>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 xml:space="preserve">Levantamientos </w:t>
            </w:r>
            <w:proofErr w:type="spellStart"/>
            <w:r w:rsidRPr="00F35E84">
              <w:rPr>
                <w:sz w:val="16"/>
                <w:szCs w:val="16"/>
              </w:rPr>
              <w:t>magnetométricos</w:t>
            </w:r>
            <w:proofErr w:type="spellEnd"/>
            <w:r w:rsidRPr="00F35E84">
              <w:rPr>
                <w:sz w:val="16"/>
                <w:szCs w:val="16"/>
              </w:rPr>
              <w:t>, adquisición, procesado e interpretación.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shd w:val="clear" w:color="auto" w:fill="FFFFFF"/>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Levantamientos gravimétricos, adquisición, procesado e interpretación.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line="227" w:lineRule="exact"/>
              <w:ind w:firstLine="0"/>
              <w:rPr>
                <w:sz w:val="16"/>
                <w:szCs w:val="16"/>
              </w:rPr>
            </w:pPr>
            <w:r w:rsidRPr="00F35E84">
              <w:rPr>
                <w:sz w:val="16"/>
                <w:szCs w:val="16"/>
              </w:rPr>
              <w:t>Geología</w:t>
            </w: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Análisis geoquímicos de muestras.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shd w:val="clear" w:color="auto" w:fill="FFFFFF"/>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Estudios estratigráficos.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shd w:val="clear" w:color="auto" w:fill="FFFFFF"/>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Análisis de Hidrocarburos.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shd w:val="clear" w:color="auto" w:fill="FFFFFF"/>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Estudios geológicos regionales.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shd w:val="clear" w:color="auto" w:fill="FFFFFF"/>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Estudios geológicos de detalle.</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shd w:val="clear" w:color="auto" w:fill="FFFFFF"/>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Estudios petrofísicos.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line="227" w:lineRule="exact"/>
              <w:ind w:firstLine="0"/>
              <w:rPr>
                <w:sz w:val="16"/>
                <w:szCs w:val="16"/>
              </w:rPr>
            </w:pPr>
            <w:r w:rsidRPr="00F35E84">
              <w:rPr>
                <w:sz w:val="16"/>
                <w:szCs w:val="16"/>
              </w:rPr>
              <w:t>Pruebas de Producción</w:t>
            </w: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Equipamiento de Pozos.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Realización de pruebas de producción.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line="227" w:lineRule="exact"/>
              <w:ind w:firstLine="0"/>
              <w:rPr>
                <w:sz w:val="16"/>
                <w:szCs w:val="16"/>
              </w:rPr>
            </w:pPr>
            <w:r w:rsidRPr="00F35E84">
              <w:rPr>
                <w:sz w:val="16"/>
                <w:szCs w:val="16"/>
              </w:rPr>
              <w:t>Ingeniería de Yacimientos</w:t>
            </w: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Cálculo de Reservas y estimaciones de producción.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Modelado y simulación de Yacimientos.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Estudios presión, volumen y temperatura (PVT).</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Caracterización de Yacimientos.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Diseño de terminaciones de Pozos.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line="227" w:lineRule="exact"/>
              <w:ind w:firstLine="0"/>
              <w:rPr>
                <w:sz w:val="16"/>
                <w:szCs w:val="16"/>
              </w:rPr>
            </w:pPr>
            <w:r w:rsidRPr="00F35E84">
              <w:rPr>
                <w:sz w:val="16"/>
                <w:szCs w:val="16"/>
              </w:rPr>
              <w:t xml:space="preserve">Otras Ingenierías </w:t>
            </w:r>
          </w:p>
        </w:tc>
        <w:tc>
          <w:tcPr>
            <w:tcW w:w="6420" w:type="dxa"/>
            <w:shd w:val="clear" w:color="auto" w:fill="FFFFFF"/>
            <w:vAlign w:val="center"/>
          </w:tcPr>
          <w:p w:rsidR="00741B2D" w:rsidRPr="00F35E84" w:rsidRDefault="00741B2D" w:rsidP="00E33B20">
            <w:pPr>
              <w:pStyle w:val="Texto"/>
              <w:spacing w:line="227" w:lineRule="exact"/>
              <w:ind w:firstLine="0"/>
              <w:rPr>
                <w:sz w:val="16"/>
                <w:szCs w:val="16"/>
              </w:rPr>
            </w:pPr>
            <w:r w:rsidRPr="00F35E84">
              <w:rPr>
                <w:sz w:val="16"/>
                <w:szCs w:val="16"/>
              </w:rPr>
              <w:t>Ingeniería conceptual.</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Diseño de instalaciones de superficie.</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Estudios del fondo marino.</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Diseño de ductos.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line="227" w:lineRule="exact"/>
              <w:ind w:firstLine="0"/>
              <w:rPr>
                <w:sz w:val="16"/>
                <w:szCs w:val="16"/>
              </w:rPr>
            </w:pPr>
            <w:r w:rsidRPr="00F35E84">
              <w:rPr>
                <w:sz w:val="16"/>
                <w:szCs w:val="16"/>
              </w:rPr>
              <w:t>Perforación de Pozos</w:t>
            </w: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Preparación de áreas y/o vías de acceso a la localización.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Transporte marítimo y/o aéreo de personal, Materiales y/o equipos.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Servicios de soporte.</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Servicios de perforación de Pozos.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Realización de pruebas de formación.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Suministros y Materiales.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Terminación de Pozos.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line="227" w:lineRule="exact"/>
              <w:ind w:firstLine="0"/>
              <w:rPr>
                <w:sz w:val="16"/>
                <w:szCs w:val="16"/>
              </w:rPr>
            </w:pPr>
            <w:r w:rsidRPr="00F35E84">
              <w:rPr>
                <w:sz w:val="16"/>
                <w:szCs w:val="16"/>
              </w:rPr>
              <w:t>Seguridad, Salud y Medio Ambiente</w:t>
            </w: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Estudios de impacto ambiental.</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Prevención y detección de incendio y fugas de gas.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Auditorías de seguridad.</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Tratamiento y eliminación de residuos.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Restauración ambiental.</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27" w:lineRule="exact"/>
              <w:ind w:firstLine="0"/>
              <w:rPr>
                <w:sz w:val="16"/>
                <w:szCs w:val="16"/>
              </w:rPr>
            </w:pPr>
          </w:p>
        </w:tc>
        <w:tc>
          <w:tcPr>
            <w:tcW w:w="1214" w:type="dxa"/>
            <w:vMerge/>
            <w:vAlign w:val="center"/>
          </w:tcPr>
          <w:p w:rsidR="00741B2D" w:rsidRPr="00F35E84" w:rsidRDefault="00741B2D" w:rsidP="00E33B20">
            <w:pPr>
              <w:pStyle w:val="Texto"/>
              <w:spacing w:line="227" w:lineRule="exact"/>
              <w:ind w:firstLine="0"/>
              <w:rPr>
                <w:sz w:val="16"/>
                <w:szCs w:val="16"/>
              </w:rPr>
            </w:pPr>
          </w:p>
        </w:tc>
        <w:tc>
          <w:tcPr>
            <w:tcW w:w="6420" w:type="dxa"/>
            <w:vAlign w:val="center"/>
          </w:tcPr>
          <w:p w:rsidR="00741B2D" w:rsidRPr="00F35E84" w:rsidRDefault="00741B2D" w:rsidP="00E33B20">
            <w:pPr>
              <w:pStyle w:val="Texto"/>
              <w:spacing w:line="227" w:lineRule="exact"/>
              <w:ind w:firstLine="0"/>
              <w:rPr>
                <w:sz w:val="16"/>
                <w:szCs w:val="16"/>
              </w:rPr>
            </w:pPr>
            <w:r w:rsidRPr="00F35E84">
              <w:rPr>
                <w:sz w:val="16"/>
                <w:szCs w:val="16"/>
              </w:rPr>
              <w:t>Auditoría ambiental.</w:t>
            </w:r>
          </w:p>
        </w:tc>
      </w:tr>
    </w:tbl>
    <w:p w:rsidR="00741B2D" w:rsidRPr="00825419" w:rsidRDefault="00741B2D" w:rsidP="00741B2D">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78"/>
        <w:gridCol w:w="1214"/>
        <w:gridCol w:w="6420"/>
      </w:tblGrid>
      <w:tr w:rsidR="00741B2D" w:rsidRPr="00F35E84" w:rsidTr="00E33B20">
        <w:tblPrEx>
          <w:tblCellMar>
            <w:top w:w="0" w:type="dxa"/>
            <w:bottom w:w="0" w:type="dxa"/>
          </w:tblCellMar>
        </w:tblPrEx>
        <w:trPr>
          <w:trHeight w:val="20"/>
        </w:trPr>
        <w:tc>
          <w:tcPr>
            <w:tcW w:w="1078" w:type="dxa"/>
            <w:vMerge w:val="restart"/>
            <w:shd w:val="clear" w:color="auto" w:fill="FFFFFF"/>
            <w:vAlign w:val="center"/>
          </w:tcPr>
          <w:p w:rsidR="00741B2D" w:rsidRPr="00F35E84" w:rsidRDefault="00741B2D" w:rsidP="00E33B20">
            <w:pPr>
              <w:pStyle w:val="Texto"/>
              <w:spacing w:after="86"/>
              <w:ind w:firstLine="0"/>
              <w:rPr>
                <w:sz w:val="16"/>
                <w:szCs w:val="16"/>
              </w:rPr>
            </w:pPr>
            <w:r w:rsidRPr="00F35E84">
              <w:rPr>
                <w:sz w:val="16"/>
                <w:szCs w:val="16"/>
              </w:rPr>
              <w:t>Desarrollo</w:t>
            </w:r>
          </w:p>
        </w:tc>
        <w:tc>
          <w:tcPr>
            <w:tcW w:w="1214" w:type="dxa"/>
            <w:vMerge w:val="restart"/>
            <w:shd w:val="clear" w:color="auto" w:fill="FFFFFF"/>
            <w:vAlign w:val="center"/>
          </w:tcPr>
          <w:p w:rsidR="00741B2D" w:rsidRPr="00F35E84" w:rsidRDefault="00741B2D" w:rsidP="00E33B20">
            <w:pPr>
              <w:pStyle w:val="Texto"/>
              <w:spacing w:after="86"/>
              <w:ind w:firstLine="0"/>
              <w:rPr>
                <w:sz w:val="16"/>
                <w:szCs w:val="16"/>
              </w:rPr>
            </w:pPr>
            <w:r w:rsidRPr="00F35E84">
              <w:rPr>
                <w:sz w:val="16"/>
                <w:szCs w:val="16"/>
              </w:rPr>
              <w:t>General</w:t>
            </w: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Evaluaciones técnico económicas.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Administración de contratos.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Plan de desarrollo con ingeniería de detalle.</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Administración, gestión de actividades y gastos generales del proyecto.</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after="86"/>
              <w:ind w:firstLine="0"/>
              <w:rPr>
                <w:sz w:val="16"/>
                <w:szCs w:val="16"/>
              </w:rPr>
            </w:pPr>
            <w:r w:rsidRPr="00F35E84">
              <w:rPr>
                <w:sz w:val="16"/>
                <w:szCs w:val="16"/>
              </w:rPr>
              <w:t>Geofísica</w:t>
            </w: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Reinterpretación sísmica de detalle.</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Procesamiento y reprocesamiento de datos sísmicos.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after="86"/>
              <w:ind w:firstLine="0"/>
              <w:rPr>
                <w:sz w:val="16"/>
                <w:szCs w:val="16"/>
              </w:rPr>
            </w:pPr>
            <w:r w:rsidRPr="00F35E84">
              <w:rPr>
                <w:sz w:val="16"/>
                <w:szCs w:val="16"/>
              </w:rPr>
              <w:t>Geología</w:t>
            </w: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Caracterización geológica – petrofísica de Yacimientos.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Análisis geoquímicos de muestras.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Estudios estratigráficos.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Análisis de Hidrocarburos.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Estudios petrofísicos.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after="86"/>
              <w:ind w:firstLine="0"/>
              <w:rPr>
                <w:sz w:val="16"/>
                <w:szCs w:val="16"/>
              </w:rPr>
            </w:pPr>
            <w:r w:rsidRPr="00F35E84">
              <w:rPr>
                <w:sz w:val="16"/>
                <w:szCs w:val="16"/>
              </w:rPr>
              <w:t>Perforación de Pozos</w:t>
            </w: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Preparación de áreas y/o vías de acceso a la localización.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Transporte marítimo y/o aéreo de personal, Materiales y/o equipos.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Servicios de soporte.</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Servicios de perforación de Pozos.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Suministros y Materiales.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Terminación de Pozos.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after="86"/>
              <w:ind w:firstLine="0"/>
              <w:rPr>
                <w:sz w:val="16"/>
                <w:szCs w:val="16"/>
              </w:rPr>
            </w:pPr>
            <w:r w:rsidRPr="00F35E84">
              <w:rPr>
                <w:sz w:val="16"/>
                <w:szCs w:val="16"/>
              </w:rPr>
              <w:t>Pruebas de Producción</w:t>
            </w: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Equipamiento de Pozos.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Realización de pruebas de producción.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after="86"/>
              <w:ind w:firstLine="0"/>
              <w:rPr>
                <w:sz w:val="16"/>
                <w:szCs w:val="16"/>
              </w:rPr>
            </w:pPr>
            <w:r w:rsidRPr="00F35E84">
              <w:rPr>
                <w:sz w:val="16"/>
                <w:szCs w:val="16"/>
              </w:rPr>
              <w:t>Ingeniería de Yacimientos</w:t>
            </w: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Cálculo de Reservas y estimaciones de producción.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Modelado y simulación de Yacimientos.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Estudios de presión volumen temperatura (PVT).</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Caracterización de Yacimientos.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Diseño de terminaciones de Pozos.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after="86"/>
              <w:ind w:firstLine="0"/>
              <w:rPr>
                <w:sz w:val="16"/>
                <w:szCs w:val="16"/>
              </w:rPr>
            </w:pPr>
            <w:r w:rsidRPr="00F35E84">
              <w:rPr>
                <w:sz w:val="16"/>
                <w:szCs w:val="16"/>
              </w:rPr>
              <w:t>Intervención de Pozos</w:t>
            </w: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Intervención de Pozos para restauración.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shd w:val="clear" w:color="auto" w:fill="FFFFFF"/>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Otras intervenciones específicas en Pozos.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after="86"/>
              <w:ind w:firstLine="0"/>
              <w:rPr>
                <w:sz w:val="16"/>
                <w:szCs w:val="16"/>
              </w:rPr>
            </w:pPr>
            <w:r w:rsidRPr="00F35E84">
              <w:rPr>
                <w:sz w:val="16"/>
                <w:szCs w:val="16"/>
              </w:rPr>
              <w:t>Otras Ingenierías</w:t>
            </w: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Ingeniería de detalle.</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shd w:val="clear" w:color="auto" w:fill="FFFFFF"/>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Ingeniería conceptual.</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shd w:val="clear" w:color="auto" w:fill="FFFFFF"/>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Diseño de instalaciones de superficie.</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shd w:val="clear" w:color="auto" w:fill="FFFFFF"/>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Estudios de fondo marino.</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shd w:val="clear" w:color="auto" w:fill="FFFFFF"/>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Diseño de ductos.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after="86"/>
              <w:ind w:firstLine="0"/>
              <w:rPr>
                <w:sz w:val="16"/>
                <w:szCs w:val="16"/>
              </w:rPr>
            </w:pPr>
            <w:r w:rsidRPr="00F35E84">
              <w:rPr>
                <w:sz w:val="16"/>
                <w:szCs w:val="16"/>
              </w:rPr>
              <w:t>Construcción Instalaciones</w:t>
            </w: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Construcción de instalaciones terrestres y marinas.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shd w:val="clear" w:color="auto" w:fill="FFFFFF"/>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Construcción y tendido de ductos.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after="86"/>
              <w:ind w:firstLine="0"/>
              <w:rPr>
                <w:sz w:val="16"/>
                <w:szCs w:val="16"/>
              </w:rPr>
            </w:pPr>
            <w:r w:rsidRPr="00F35E84">
              <w:rPr>
                <w:sz w:val="16"/>
                <w:szCs w:val="16"/>
              </w:rPr>
              <w:t>Seguridad, Salud y Medio Ambiente</w:t>
            </w: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Elaboración del plan de seguridad y medio ambiente.</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Prevención y detección de incendio y fugas de gas.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Implementación y seguimiento.</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Auditoría ambiental.</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Tratamiento y eliminación de residuos.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Restauración ambiental.</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after="86"/>
              <w:ind w:firstLine="0"/>
              <w:rPr>
                <w:sz w:val="16"/>
                <w:szCs w:val="16"/>
              </w:rPr>
            </w:pPr>
          </w:p>
        </w:tc>
        <w:tc>
          <w:tcPr>
            <w:tcW w:w="1214" w:type="dxa"/>
            <w:vMerge/>
            <w:vAlign w:val="center"/>
          </w:tcPr>
          <w:p w:rsidR="00741B2D" w:rsidRPr="00F35E84" w:rsidRDefault="00741B2D" w:rsidP="00E33B20">
            <w:pPr>
              <w:pStyle w:val="Texto"/>
              <w:spacing w:after="86"/>
              <w:ind w:firstLine="0"/>
              <w:rPr>
                <w:sz w:val="16"/>
                <w:szCs w:val="16"/>
              </w:rPr>
            </w:pPr>
          </w:p>
        </w:tc>
        <w:tc>
          <w:tcPr>
            <w:tcW w:w="6420" w:type="dxa"/>
            <w:vAlign w:val="center"/>
          </w:tcPr>
          <w:p w:rsidR="00741B2D" w:rsidRPr="00F35E84" w:rsidRDefault="00741B2D" w:rsidP="00E33B20">
            <w:pPr>
              <w:pStyle w:val="Texto"/>
              <w:spacing w:after="86"/>
              <w:ind w:firstLine="0"/>
              <w:rPr>
                <w:sz w:val="16"/>
                <w:szCs w:val="16"/>
              </w:rPr>
            </w:pPr>
            <w:r w:rsidRPr="00F35E84">
              <w:rPr>
                <w:sz w:val="16"/>
                <w:szCs w:val="16"/>
              </w:rPr>
              <w:t>Auditorías de seguridad.</w:t>
            </w:r>
          </w:p>
        </w:tc>
      </w:tr>
    </w:tbl>
    <w:p w:rsidR="00741B2D" w:rsidRPr="00825419" w:rsidRDefault="00741B2D" w:rsidP="00741B2D">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78"/>
        <w:gridCol w:w="1214"/>
        <w:gridCol w:w="6420"/>
      </w:tblGrid>
      <w:tr w:rsidR="00741B2D" w:rsidRPr="00F35E84" w:rsidTr="00E33B20">
        <w:tblPrEx>
          <w:tblCellMar>
            <w:top w:w="0" w:type="dxa"/>
            <w:bottom w:w="0" w:type="dxa"/>
          </w:tblCellMar>
        </w:tblPrEx>
        <w:trPr>
          <w:trHeight w:val="20"/>
        </w:trPr>
        <w:tc>
          <w:tcPr>
            <w:tcW w:w="1078" w:type="dxa"/>
            <w:vMerge w:val="restart"/>
            <w:shd w:val="clear" w:color="auto" w:fill="FFFFFF"/>
            <w:vAlign w:val="center"/>
          </w:tcPr>
          <w:p w:rsidR="00741B2D" w:rsidRPr="00F35E84" w:rsidRDefault="00741B2D" w:rsidP="00E33B20">
            <w:pPr>
              <w:pStyle w:val="Texto"/>
              <w:spacing w:line="288" w:lineRule="exact"/>
              <w:ind w:firstLine="0"/>
              <w:rPr>
                <w:sz w:val="16"/>
                <w:szCs w:val="16"/>
              </w:rPr>
            </w:pPr>
            <w:r w:rsidRPr="00F35E84">
              <w:rPr>
                <w:sz w:val="16"/>
                <w:szCs w:val="16"/>
              </w:rPr>
              <w:t>Producción</w:t>
            </w:r>
          </w:p>
        </w:tc>
        <w:tc>
          <w:tcPr>
            <w:tcW w:w="1214" w:type="dxa"/>
            <w:vMerge w:val="restart"/>
            <w:shd w:val="clear" w:color="auto" w:fill="FFFFFF"/>
            <w:vAlign w:val="center"/>
          </w:tcPr>
          <w:p w:rsidR="00741B2D" w:rsidRPr="00F35E84" w:rsidRDefault="00741B2D" w:rsidP="00E33B20">
            <w:pPr>
              <w:pStyle w:val="Texto"/>
              <w:spacing w:line="288" w:lineRule="exact"/>
              <w:ind w:firstLine="0"/>
              <w:rPr>
                <w:sz w:val="16"/>
                <w:szCs w:val="16"/>
              </w:rPr>
            </w:pPr>
            <w:r w:rsidRPr="00F35E84">
              <w:rPr>
                <w:sz w:val="16"/>
                <w:szCs w:val="16"/>
              </w:rPr>
              <w:t>General</w:t>
            </w: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Administración de contratos.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ign w:val="center"/>
          </w:tcPr>
          <w:p w:rsidR="00741B2D" w:rsidRPr="00F35E84" w:rsidRDefault="00741B2D" w:rsidP="00E33B20">
            <w:pPr>
              <w:pStyle w:val="Texto"/>
              <w:spacing w:line="288" w:lineRule="exact"/>
              <w:ind w:firstLine="0"/>
              <w:rPr>
                <w:sz w:val="16"/>
                <w:szCs w:val="16"/>
              </w:rPr>
            </w:pP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Administración, gestión de actividades y gastos generales del proyecto.</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ign w:val="center"/>
          </w:tcPr>
          <w:p w:rsidR="00741B2D" w:rsidRPr="00F35E84" w:rsidRDefault="00741B2D" w:rsidP="00E33B20">
            <w:pPr>
              <w:pStyle w:val="Texto"/>
              <w:spacing w:line="288" w:lineRule="exact"/>
              <w:ind w:firstLine="0"/>
              <w:rPr>
                <w:sz w:val="16"/>
                <w:szCs w:val="16"/>
              </w:rPr>
            </w:pP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Transporte marítimo y/o aéreo de personal, Materiales y/o equipos.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ign w:val="center"/>
          </w:tcPr>
          <w:p w:rsidR="00741B2D" w:rsidRPr="00F35E84" w:rsidRDefault="00741B2D" w:rsidP="00E33B20">
            <w:pPr>
              <w:pStyle w:val="Texto"/>
              <w:spacing w:line="288" w:lineRule="exact"/>
              <w:ind w:firstLine="0"/>
              <w:rPr>
                <w:sz w:val="16"/>
                <w:szCs w:val="16"/>
              </w:rPr>
            </w:pP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Servicios de soporte.</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line="288" w:lineRule="exact"/>
              <w:ind w:firstLine="0"/>
              <w:rPr>
                <w:sz w:val="16"/>
                <w:szCs w:val="16"/>
              </w:rPr>
            </w:pPr>
            <w:r w:rsidRPr="00F35E84">
              <w:rPr>
                <w:sz w:val="16"/>
                <w:szCs w:val="16"/>
              </w:rPr>
              <w:t>Geología</w:t>
            </w: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Procesamiento y reprocesamiento de información geofísica y petrofísica.</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shd w:val="clear" w:color="auto" w:fill="FFFFFF"/>
            <w:vAlign w:val="center"/>
          </w:tcPr>
          <w:p w:rsidR="00741B2D" w:rsidRPr="00F35E84" w:rsidRDefault="00741B2D" w:rsidP="00E33B20">
            <w:pPr>
              <w:pStyle w:val="Texto"/>
              <w:spacing w:line="288" w:lineRule="exact"/>
              <w:ind w:firstLine="0"/>
              <w:rPr>
                <w:sz w:val="16"/>
                <w:szCs w:val="16"/>
              </w:rPr>
            </w:pP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Caracterización geológica y petrofísica de Yacimientos.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ign w:val="center"/>
          </w:tcPr>
          <w:p w:rsidR="00741B2D" w:rsidRPr="00F35E84" w:rsidRDefault="00741B2D" w:rsidP="00E33B20">
            <w:pPr>
              <w:pStyle w:val="Texto"/>
              <w:spacing w:line="288" w:lineRule="exact"/>
              <w:ind w:firstLine="0"/>
              <w:rPr>
                <w:sz w:val="16"/>
                <w:szCs w:val="16"/>
              </w:rPr>
            </w:pP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Análisis geoquímicos de muestras.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ign w:val="center"/>
          </w:tcPr>
          <w:p w:rsidR="00741B2D" w:rsidRPr="00F35E84" w:rsidRDefault="00741B2D" w:rsidP="00E33B20">
            <w:pPr>
              <w:pStyle w:val="Texto"/>
              <w:spacing w:line="288" w:lineRule="exact"/>
              <w:ind w:firstLine="0"/>
              <w:rPr>
                <w:sz w:val="16"/>
                <w:szCs w:val="16"/>
              </w:rPr>
            </w:pP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Estudios petrofísicos.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line="288" w:lineRule="exact"/>
              <w:ind w:firstLine="0"/>
              <w:rPr>
                <w:sz w:val="16"/>
                <w:szCs w:val="16"/>
              </w:rPr>
            </w:pPr>
            <w:r w:rsidRPr="00F35E84">
              <w:rPr>
                <w:sz w:val="16"/>
                <w:szCs w:val="16"/>
              </w:rPr>
              <w:t>Pruebas de Producción</w:t>
            </w: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Equipamiento de Pozos.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ign w:val="center"/>
          </w:tcPr>
          <w:p w:rsidR="00741B2D" w:rsidRPr="00F35E84" w:rsidRDefault="00741B2D" w:rsidP="00E33B20">
            <w:pPr>
              <w:pStyle w:val="Texto"/>
              <w:spacing w:line="288" w:lineRule="exact"/>
              <w:ind w:firstLine="0"/>
              <w:rPr>
                <w:sz w:val="16"/>
                <w:szCs w:val="16"/>
              </w:rPr>
            </w:pP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Realización de pruebas de producción.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line="288" w:lineRule="exact"/>
              <w:ind w:firstLine="0"/>
              <w:rPr>
                <w:sz w:val="16"/>
                <w:szCs w:val="16"/>
              </w:rPr>
            </w:pPr>
            <w:r w:rsidRPr="00F35E84">
              <w:rPr>
                <w:sz w:val="16"/>
                <w:szCs w:val="16"/>
              </w:rPr>
              <w:t>Ingeniería de Yacimientos</w:t>
            </w: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Cálculo de Reservas y estimaciones de producción.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ign w:val="center"/>
          </w:tcPr>
          <w:p w:rsidR="00741B2D" w:rsidRPr="00F35E84" w:rsidRDefault="00741B2D" w:rsidP="00E33B20">
            <w:pPr>
              <w:pStyle w:val="Texto"/>
              <w:spacing w:line="288" w:lineRule="exact"/>
              <w:ind w:firstLine="0"/>
              <w:rPr>
                <w:sz w:val="16"/>
                <w:szCs w:val="16"/>
              </w:rPr>
            </w:pP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Simulación y caracterización de Yacimientos.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ign w:val="center"/>
          </w:tcPr>
          <w:p w:rsidR="00741B2D" w:rsidRPr="00F35E84" w:rsidRDefault="00741B2D" w:rsidP="00E33B20">
            <w:pPr>
              <w:pStyle w:val="Texto"/>
              <w:spacing w:line="288" w:lineRule="exact"/>
              <w:ind w:firstLine="0"/>
              <w:rPr>
                <w:sz w:val="16"/>
                <w:szCs w:val="16"/>
              </w:rPr>
            </w:pP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Estudios de presión volumen temperatura (PVT).</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ign w:val="center"/>
          </w:tcPr>
          <w:p w:rsidR="00741B2D" w:rsidRPr="00F35E84" w:rsidRDefault="00741B2D" w:rsidP="00E33B20">
            <w:pPr>
              <w:pStyle w:val="Texto"/>
              <w:spacing w:line="288" w:lineRule="exact"/>
              <w:ind w:firstLine="0"/>
              <w:rPr>
                <w:sz w:val="16"/>
                <w:szCs w:val="16"/>
              </w:rPr>
            </w:pP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Diseño de terminaciones de Pozos.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shd w:val="clear" w:color="auto" w:fill="FFFFFF"/>
            <w:vAlign w:val="center"/>
          </w:tcPr>
          <w:p w:rsidR="00741B2D" w:rsidRPr="00F35E84" w:rsidRDefault="00741B2D" w:rsidP="00E33B20">
            <w:pPr>
              <w:pStyle w:val="Texto"/>
              <w:spacing w:line="288" w:lineRule="exact"/>
              <w:ind w:firstLine="0"/>
              <w:rPr>
                <w:sz w:val="16"/>
                <w:szCs w:val="16"/>
              </w:rPr>
            </w:pPr>
            <w:r w:rsidRPr="00F35E84">
              <w:rPr>
                <w:sz w:val="16"/>
                <w:szCs w:val="16"/>
              </w:rPr>
              <w:t>Otras Ingenierías</w:t>
            </w: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Ingeniería de detalle para reacondicionamiento de instalaciones.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shd w:val="clear" w:color="auto" w:fill="FFFFFF"/>
            <w:vAlign w:val="center"/>
          </w:tcPr>
          <w:p w:rsidR="00741B2D" w:rsidRPr="00F35E84" w:rsidRDefault="00741B2D" w:rsidP="00E33B20">
            <w:pPr>
              <w:pStyle w:val="Texto"/>
              <w:spacing w:line="288" w:lineRule="exact"/>
              <w:ind w:firstLine="0"/>
              <w:rPr>
                <w:sz w:val="16"/>
                <w:szCs w:val="16"/>
              </w:rPr>
            </w:pPr>
            <w:r w:rsidRPr="00F35E84">
              <w:rPr>
                <w:sz w:val="16"/>
                <w:szCs w:val="16"/>
              </w:rPr>
              <w:t>Construcción Instalaciones</w:t>
            </w: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Construcción y/o adaptación de infraestructura u otras facilidades.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line="288" w:lineRule="exact"/>
              <w:ind w:firstLine="0"/>
              <w:rPr>
                <w:sz w:val="16"/>
                <w:szCs w:val="16"/>
              </w:rPr>
            </w:pPr>
            <w:r w:rsidRPr="00F35E84">
              <w:rPr>
                <w:sz w:val="16"/>
                <w:szCs w:val="16"/>
              </w:rPr>
              <w:t>Intervención de Pozos</w:t>
            </w: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Intervención de Pozos para mantenimiento y rehabilitación.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ign w:val="center"/>
          </w:tcPr>
          <w:p w:rsidR="00741B2D" w:rsidRPr="00F35E84" w:rsidRDefault="00741B2D" w:rsidP="00E33B20">
            <w:pPr>
              <w:pStyle w:val="Texto"/>
              <w:spacing w:line="288" w:lineRule="exact"/>
              <w:ind w:firstLine="0"/>
              <w:rPr>
                <w:sz w:val="16"/>
                <w:szCs w:val="16"/>
              </w:rPr>
            </w:pP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Otras intervenciones específicas en Pozos.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line="288" w:lineRule="exact"/>
              <w:ind w:firstLine="0"/>
              <w:rPr>
                <w:sz w:val="16"/>
                <w:szCs w:val="16"/>
              </w:rPr>
            </w:pPr>
            <w:r w:rsidRPr="00F35E84">
              <w:rPr>
                <w:sz w:val="16"/>
                <w:szCs w:val="16"/>
              </w:rPr>
              <w:t>Operación de Instalaciones de Producción</w:t>
            </w: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Mantenimiento de las instalaciones de producción.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ign w:val="center"/>
          </w:tcPr>
          <w:p w:rsidR="00741B2D" w:rsidRPr="00F35E84" w:rsidRDefault="00741B2D" w:rsidP="00E33B20">
            <w:pPr>
              <w:pStyle w:val="Texto"/>
              <w:spacing w:line="288" w:lineRule="exact"/>
              <w:ind w:firstLine="0"/>
              <w:rPr>
                <w:sz w:val="16"/>
                <w:szCs w:val="16"/>
              </w:rPr>
            </w:pP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Ingeniería de producción.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ign w:val="center"/>
          </w:tcPr>
          <w:p w:rsidR="00741B2D" w:rsidRPr="00F35E84" w:rsidRDefault="00741B2D" w:rsidP="00E33B20">
            <w:pPr>
              <w:pStyle w:val="Texto"/>
              <w:spacing w:line="288" w:lineRule="exact"/>
              <w:ind w:firstLine="0"/>
              <w:rPr>
                <w:sz w:val="16"/>
                <w:szCs w:val="16"/>
              </w:rPr>
            </w:pP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Operación de las instalaciones de producción.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line="288" w:lineRule="exact"/>
              <w:ind w:firstLine="0"/>
              <w:rPr>
                <w:sz w:val="16"/>
                <w:szCs w:val="16"/>
              </w:rPr>
            </w:pPr>
            <w:r w:rsidRPr="00F35E84">
              <w:rPr>
                <w:sz w:val="16"/>
                <w:szCs w:val="16"/>
              </w:rPr>
              <w:t>Ductos</w:t>
            </w: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Mantenimiento de ductos.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ign w:val="center"/>
          </w:tcPr>
          <w:p w:rsidR="00741B2D" w:rsidRPr="00F35E84" w:rsidRDefault="00741B2D" w:rsidP="00E33B20">
            <w:pPr>
              <w:pStyle w:val="Texto"/>
              <w:spacing w:line="288" w:lineRule="exact"/>
              <w:ind w:firstLine="0"/>
              <w:rPr>
                <w:sz w:val="16"/>
                <w:szCs w:val="16"/>
              </w:rPr>
            </w:pP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Operación de ductos.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line="288" w:lineRule="exact"/>
              <w:ind w:firstLine="0"/>
              <w:rPr>
                <w:sz w:val="16"/>
                <w:szCs w:val="16"/>
              </w:rPr>
            </w:pPr>
            <w:r w:rsidRPr="00F35E84">
              <w:rPr>
                <w:sz w:val="16"/>
                <w:szCs w:val="16"/>
              </w:rPr>
              <w:t>Seguridad, Salud y Medio Ambiente</w:t>
            </w: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Actualización del plan de seguridad y medio ambiente.</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ign w:val="center"/>
          </w:tcPr>
          <w:p w:rsidR="00741B2D" w:rsidRPr="00F35E84" w:rsidRDefault="00741B2D" w:rsidP="00E33B20">
            <w:pPr>
              <w:pStyle w:val="Texto"/>
              <w:spacing w:line="288" w:lineRule="exact"/>
              <w:ind w:firstLine="0"/>
              <w:rPr>
                <w:sz w:val="16"/>
                <w:szCs w:val="16"/>
              </w:rPr>
            </w:pP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Prevención y detección de incendio y fugas de gas.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ign w:val="center"/>
          </w:tcPr>
          <w:p w:rsidR="00741B2D" w:rsidRPr="00F35E84" w:rsidRDefault="00741B2D" w:rsidP="00E33B20">
            <w:pPr>
              <w:pStyle w:val="Texto"/>
              <w:spacing w:line="288" w:lineRule="exact"/>
              <w:ind w:firstLine="0"/>
              <w:rPr>
                <w:sz w:val="16"/>
                <w:szCs w:val="16"/>
              </w:rPr>
            </w:pP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Implementación y seguimiento.</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ign w:val="center"/>
          </w:tcPr>
          <w:p w:rsidR="00741B2D" w:rsidRPr="00F35E84" w:rsidRDefault="00741B2D" w:rsidP="00E33B20">
            <w:pPr>
              <w:pStyle w:val="Texto"/>
              <w:spacing w:line="288" w:lineRule="exact"/>
              <w:ind w:firstLine="0"/>
              <w:rPr>
                <w:sz w:val="16"/>
                <w:szCs w:val="16"/>
              </w:rPr>
            </w:pP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Auditoría ambiental.</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ign w:val="center"/>
          </w:tcPr>
          <w:p w:rsidR="00741B2D" w:rsidRPr="00F35E84" w:rsidRDefault="00741B2D" w:rsidP="00E33B20">
            <w:pPr>
              <w:pStyle w:val="Texto"/>
              <w:spacing w:line="288" w:lineRule="exact"/>
              <w:ind w:firstLine="0"/>
              <w:rPr>
                <w:sz w:val="16"/>
                <w:szCs w:val="16"/>
              </w:rPr>
            </w:pP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Tratamiento y eliminación de residuos.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ign w:val="center"/>
          </w:tcPr>
          <w:p w:rsidR="00741B2D" w:rsidRPr="00F35E84" w:rsidRDefault="00741B2D" w:rsidP="00E33B20">
            <w:pPr>
              <w:pStyle w:val="Texto"/>
              <w:spacing w:line="288" w:lineRule="exact"/>
              <w:ind w:firstLine="0"/>
              <w:rPr>
                <w:sz w:val="16"/>
                <w:szCs w:val="16"/>
              </w:rPr>
            </w:pP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Restauración ambiental.</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88" w:lineRule="exact"/>
              <w:ind w:firstLine="0"/>
              <w:rPr>
                <w:sz w:val="16"/>
                <w:szCs w:val="16"/>
              </w:rPr>
            </w:pPr>
          </w:p>
        </w:tc>
        <w:tc>
          <w:tcPr>
            <w:tcW w:w="1214" w:type="dxa"/>
            <w:vMerge/>
            <w:vAlign w:val="center"/>
          </w:tcPr>
          <w:p w:rsidR="00741B2D" w:rsidRPr="00F35E84" w:rsidRDefault="00741B2D" w:rsidP="00E33B20">
            <w:pPr>
              <w:pStyle w:val="Texto"/>
              <w:spacing w:line="288" w:lineRule="exact"/>
              <w:ind w:firstLine="0"/>
              <w:rPr>
                <w:sz w:val="16"/>
                <w:szCs w:val="16"/>
              </w:rPr>
            </w:pPr>
          </w:p>
        </w:tc>
        <w:tc>
          <w:tcPr>
            <w:tcW w:w="6420" w:type="dxa"/>
            <w:vAlign w:val="center"/>
          </w:tcPr>
          <w:p w:rsidR="00741B2D" w:rsidRPr="00F35E84" w:rsidRDefault="00741B2D" w:rsidP="00E33B20">
            <w:pPr>
              <w:pStyle w:val="Texto"/>
              <w:spacing w:line="288" w:lineRule="exact"/>
              <w:ind w:firstLine="0"/>
              <w:rPr>
                <w:sz w:val="16"/>
                <w:szCs w:val="16"/>
              </w:rPr>
            </w:pPr>
            <w:r w:rsidRPr="00F35E84">
              <w:rPr>
                <w:sz w:val="16"/>
                <w:szCs w:val="16"/>
              </w:rPr>
              <w:t>Auditoría de seguridad.</w:t>
            </w:r>
          </w:p>
        </w:tc>
      </w:tr>
    </w:tbl>
    <w:p w:rsidR="00741B2D" w:rsidRPr="00825419" w:rsidRDefault="00741B2D" w:rsidP="00741B2D">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78"/>
        <w:gridCol w:w="1214"/>
        <w:gridCol w:w="6420"/>
      </w:tblGrid>
      <w:tr w:rsidR="00741B2D" w:rsidRPr="00F35E84" w:rsidTr="00E33B20">
        <w:tblPrEx>
          <w:tblCellMar>
            <w:top w:w="0" w:type="dxa"/>
            <w:bottom w:w="0" w:type="dxa"/>
          </w:tblCellMar>
        </w:tblPrEx>
        <w:trPr>
          <w:trHeight w:val="20"/>
        </w:trPr>
        <w:tc>
          <w:tcPr>
            <w:tcW w:w="1078" w:type="dxa"/>
            <w:vMerge w:val="restart"/>
            <w:shd w:val="clear" w:color="auto" w:fill="FFFFFF"/>
            <w:vAlign w:val="center"/>
          </w:tcPr>
          <w:p w:rsidR="00741B2D" w:rsidRPr="00F35E84" w:rsidRDefault="00741B2D" w:rsidP="00E33B20">
            <w:pPr>
              <w:pStyle w:val="Texto"/>
              <w:spacing w:line="232" w:lineRule="exact"/>
              <w:ind w:firstLine="0"/>
              <w:rPr>
                <w:sz w:val="16"/>
                <w:szCs w:val="16"/>
              </w:rPr>
            </w:pPr>
            <w:r w:rsidRPr="00F35E84">
              <w:rPr>
                <w:sz w:val="16"/>
                <w:szCs w:val="16"/>
              </w:rPr>
              <w:t>Abandono</w:t>
            </w:r>
          </w:p>
        </w:tc>
        <w:tc>
          <w:tcPr>
            <w:tcW w:w="1214" w:type="dxa"/>
            <w:vMerge w:val="restart"/>
            <w:shd w:val="clear" w:color="auto" w:fill="FFFFFF"/>
            <w:vAlign w:val="center"/>
          </w:tcPr>
          <w:p w:rsidR="00741B2D" w:rsidRPr="00F35E84" w:rsidRDefault="00741B2D" w:rsidP="00E33B20">
            <w:pPr>
              <w:pStyle w:val="Texto"/>
              <w:spacing w:line="232" w:lineRule="exact"/>
              <w:ind w:firstLine="0"/>
              <w:rPr>
                <w:sz w:val="16"/>
                <w:szCs w:val="16"/>
              </w:rPr>
            </w:pPr>
            <w:r w:rsidRPr="00F35E84">
              <w:rPr>
                <w:sz w:val="16"/>
                <w:szCs w:val="16"/>
              </w:rPr>
              <w:t>General</w:t>
            </w:r>
          </w:p>
        </w:tc>
        <w:tc>
          <w:tcPr>
            <w:tcW w:w="6420" w:type="dxa"/>
            <w:vAlign w:val="center"/>
          </w:tcPr>
          <w:p w:rsidR="00741B2D" w:rsidRPr="00F35E84" w:rsidRDefault="00741B2D" w:rsidP="00E33B20">
            <w:pPr>
              <w:pStyle w:val="Texto"/>
              <w:spacing w:line="232" w:lineRule="exact"/>
              <w:ind w:firstLine="0"/>
              <w:rPr>
                <w:sz w:val="16"/>
                <w:szCs w:val="16"/>
              </w:rPr>
            </w:pPr>
            <w:r w:rsidRPr="00F35E84">
              <w:rPr>
                <w:sz w:val="16"/>
                <w:szCs w:val="16"/>
              </w:rPr>
              <w:t>Evaluaciones técnico económicas.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32" w:lineRule="exact"/>
              <w:ind w:firstLine="0"/>
              <w:rPr>
                <w:sz w:val="16"/>
                <w:szCs w:val="16"/>
              </w:rPr>
            </w:pPr>
          </w:p>
        </w:tc>
        <w:tc>
          <w:tcPr>
            <w:tcW w:w="1214" w:type="dxa"/>
            <w:vMerge/>
            <w:vAlign w:val="center"/>
          </w:tcPr>
          <w:p w:rsidR="00741B2D" w:rsidRPr="00F35E84" w:rsidRDefault="00741B2D" w:rsidP="00E33B20">
            <w:pPr>
              <w:pStyle w:val="Texto"/>
              <w:spacing w:line="232" w:lineRule="exact"/>
              <w:ind w:firstLine="0"/>
              <w:rPr>
                <w:sz w:val="16"/>
                <w:szCs w:val="16"/>
              </w:rPr>
            </w:pPr>
          </w:p>
        </w:tc>
        <w:tc>
          <w:tcPr>
            <w:tcW w:w="6420" w:type="dxa"/>
            <w:vAlign w:val="center"/>
          </w:tcPr>
          <w:p w:rsidR="00741B2D" w:rsidRPr="00F35E84" w:rsidRDefault="00741B2D" w:rsidP="00E33B20">
            <w:pPr>
              <w:pStyle w:val="Texto"/>
              <w:spacing w:line="232" w:lineRule="exact"/>
              <w:ind w:firstLine="0"/>
              <w:rPr>
                <w:sz w:val="16"/>
                <w:szCs w:val="16"/>
              </w:rPr>
            </w:pPr>
            <w:r w:rsidRPr="00F35E84">
              <w:rPr>
                <w:sz w:val="16"/>
                <w:szCs w:val="16"/>
              </w:rPr>
              <w:t>Administración de contratos.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32" w:lineRule="exact"/>
              <w:ind w:firstLine="0"/>
              <w:rPr>
                <w:sz w:val="16"/>
                <w:szCs w:val="16"/>
              </w:rPr>
            </w:pPr>
          </w:p>
        </w:tc>
        <w:tc>
          <w:tcPr>
            <w:tcW w:w="1214" w:type="dxa"/>
            <w:vMerge/>
            <w:vAlign w:val="center"/>
          </w:tcPr>
          <w:p w:rsidR="00741B2D" w:rsidRPr="00F35E84" w:rsidRDefault="00741B2D" w:rsidP="00E33B20">
            <w:pPr>
              <w:pStyle w:val="Texto"/>
              <w:spacing w:line="232" w:lineRule="exact"/>
              <w:ind w:firstLine="0"/>
              <w:rPr>
                <w:sz w:val="16"/>
                <w:szCs w:val="16"/>
              </w:rPr>
            </w:pPr>
          </w:p>
        </w:tc>
        <w:tc>
          <w:tcPr>
            <w:tcW w:w="6420" w:type="dxa"/>
            <w:vAlign w:val="center"/>
          </w:tcPr>
          <w:p w:rsidR="00741B2D" w:rsidRPr="00F35E84" w:rsidRDefault="00741B2D" w:rsidP="00E33B20">
            <w:pPr>
              <w:pStyle w:val="Texto"/>
              <w:spacing w:line="232" w:lineRule="exact"/>
              <w:ind w:firstLine="0"/>
              <w:rPr>
                <w:sz w:val="16"/>
                <w:szCs w:val="16"/>
              </w:rPr>
            </w:pPr>
            <w:r w:rsidRPr="00F35E84">
              <w:rPr>
                <w:sz w:val="16"/>
                <w:szCs w:val="16"/>
              </w:rPr>
              <w:t>Administración, gestión de actividades y gastos generales del proyecto.</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32" w:lineRule="exact"/>
              <w:ind w:firstLine="0"/>
              <w:rPr>
                <w:sz w:val="16"/>
                <w:szCs w:val="16"/>
              </w:rPr>
            </w:pPr>
          </w:p>
        </w:tc>
        <w:tc>
          <w:tcPr>
            <w:tcW w:w="1214" w:type="dxa"/>
            <w:shd w:val="clear" w:color="auto" w:fill="FFFFFF"/>
            <w:vAlign w:val="center"/>
          </w:tcPr>
          <w:p w:rsidR="00741B2D" w:rsidRPr="00F35E84" w:rsidRDefault="00741B2D" w:rsidP="00E33B20">
            <w:pPr>
              <w:pStyle w:val="Texto"/>
              <w:spacing w:line="232" w:lineRule="exact"/>
              <w:ind w:firstLine="0"/>
              <w:rPr>
                <w:sz w:val="16"/>
                <w:szCs w:val="16"/>
              </w:rPr>
            </w:pPr>
            <w:r w:rsidRPr="00F35E84">
              <w:rPr>
                <w:sz w:val="16"/>
                <w:szCs w:val="16"/>
              </w:rPr>
              <w:t>Otras Ingenierías</w:t>
            </w:r>
          </w:p>
        </w:tc>
        <w:tc>
          <w:tcPr>
            <w:tcW w:w="6420" w:type="dxa"/>
            <w:vAlign w:val="center"/>
          </w:tcPr>
          <w:p w:rsidR="00741B2D" w:rsidRPr="00F35E84" w:rsidRDefault="00741B2D" w:rsidP="00E33B20">
            <w:pPr>
              <w:pStyle w:val="Texto"/>
              <w:spacing w:line="232" w:lineRule="exact"/>
              <w:ind w:firstLine="0"/>
              <w:rPr>
                <w:sz w:val="16"/>
                <w:szCs w:val="16"/>
              </w:rPr>
            </w:pPr>
            <w:r w:rsidRPr="00F35E84">
              <w:rPr>
                <w:sz w:val="16"/>
                <w:szCs w:val="16"/>
              </w:rPr>
              <w:t>Planes de Abandono.</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32" w:lineRule="exact"/>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line="232" w:lineRule="exact"/>
              <w:ind w:firstLine="0"/>
              <w:rPr>
                <w:sz w:val="16"/>
                <w:szCs w:val="16"/>
              </w:rPr>
            </w:pPr>
            <w:r w:rsidRPr="00F35E84">
              <w:rPr>
                <w:sz w:val="16"/>
                <w:szCs w:val="16"/>
              </w:rPr>
              <w:t>Desmantela-miento de Instalaciones</w:t>
            </w:r>
          </w:p>
        </w:tc>
        <w:tc>
          <w:tcPr>
            <w:tcW w:w="6420" w:type="dxa"/>
            <w:vAlign w:val="center"/>
          </w:tcPr>
          <w:p w:rsidR="00741B2D" w:rsidRPr="00F35E84" w:rsidRDefault="00741B2D" w:rsidP="00E33B20">
            <w:pPr>
              <w:pStyle w:val="Texto"/>
              <w:spacing w:line="232" w:lineRule="exact"/>
              <w:ind w:firstLine="0"/>
              <w:rPr>
                <w:sz w:val="16"/>
                <w:szCs w:val="16"/>
              </w:rPr>
            </w:pPr>
            <w:r w:rsidRPr="00F35E84">
              <w:rPr>
                <w:sz w:val="16"/>
                <w:szCs w:val="16"/>
              </w:rPr>
              <w:t>Ejecución del Abandono instalaciones de superficie.</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32" w:lineRule="exact"/>
              <w:ind w:firstLine="0"/>
              <w:rPr>
                <w:sz w:val="16"/>
                <w:szCs w:val="16"/>
              </w:rPr>
            </w:pPr>
          </w:p>
        </w:tc>
        <w:tc>
          <w:tcPr>
            <w:tcW w:w="1214" w:type="dxa"/>
            <w:vMerge/>
            <w:vAlign w:val="center"/>
          </w:tcPr>
          <w:p w:rsidR="00741B2D" w:rsidRPr="00F35E84" w:rsidRDefault="00741B2D" w:rsidP="00E33B20">
            <w:pPr>
              <w:pStyle w:val="Texto"/>
              <w:spacing w:line="232" w:lineRule="exact"/>
              <w:ind w:firstLine="0"/>
              <w:rPr>
                <w:sz w:val="16"/>
                <w:szCs w:val="16"/>
              </w:rPr>
            </w:pPr>
          </w:p>
        </w:tc>
        <w:tc>
          <w:tcPr>
            <w:tcW w:w="6420" w:type="dxa"/>
            <w:vAlign w:val="center"/>
          </w:tcPr>
          <w:p w:rsidR="00741B2D" w:rsidRPr="00F35E84" w:rsidRDefault="00741B2D" w:rsidP="00E33B20">
            <w:pPr>
              <w:pStyle w:val="Texto"/>
              <w:spacing w:line="232" w:lineRule="exact"/>
              <w:ind w:firstLine="0"/>
              <w:rPr>
                <w:sz w:val="16"/>
                <w:szCs w:val="16"/>
              </w:rPr>
            </w:pPr>
            <w:r w:rsidRPr="00F35E84">
              <w:rPr>
                <w:sz w:val="16"/>
                <w:szCs w:val="16"/>
              </w:rPr>
              <w:t>Ejecución de planes de restauración.</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32" w:lineRule="exact"/>
              <w:ind w:firstLine="0"/>
              <w:rPr>
                <w:sz w:val="16"/>
                <w:szCs w:val="16"/>
              </w:rPr>
            </w:pPr>
          </w:p>
        </w:tc>
        <w:tc>
          <w:tcPr>
            <w:tcW w:w="1214" w:type="dxa"/>
            <w:vMerge/>
            <w:vAlign w:val="center"/>
          </w:tcPr>
          <w:p w:rsidR="00741B2D" w:rsidRPr="00F35E84" w:rsidRDefault="00741B2D" w:rsidP="00E33B20">
            <w:pPr>
              <w:pStyle w:val="Texto"/>
              <w:spacing w:line="232" w:lineRule="exact"/>
              <w:ind w:firstLine="0"/>
              <w:rPr>
                <w:sz w:val="16"/>
                <w:szCs w:val="16"/>
              </w:rPr>
            </w:pPr>
          </w:p>
        </w:tc>
        <w:tc>
          <w:tcPr>
            <w:tcW w:w="6420" w:type="dxa"/>
            <w:vAlign w:val="center"/>
          </w:tcPr>
          <w:p w:rsidR="00741B2D" w:rsidRPr="00F35E84" w:rsidRDefault="00741B2D" w:rsidP="00E33B20">
            <w:pPr>
              <w:pStyle w:val="Texto"/>
              <w:spacing w:line="232" w:lineRule="exact"/>
              <w:ind w:firstLine="0"/>
              <w:rPr>
                <w:sz w:val="16"/>
                <w:szCs w:val="16"/>
              </w:rPr>
            </w:pPr>
            <w:r w:rsidRPr="00F35E84">
              <w:rPr>
                <w:sz w:val="16"/>
                <w:szCs w:val="16"/>
              </w:rPr>
              <w:t>Ejecución de planes de Abandono de instalaciones de fondo.</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32" w:lineRule="exact"/>
              <w:ind w:firstLine="0"/>
              <w:rPr>
                <w:sz w:val="16"/>
                <w:szCs w:val="16"/>
              </w:rPr>
            </w:pPr>
          </w:p>
        </w:tc>
        <w:tc>
          <w:tcPr>
            <w:tcW w:w="1214" w:type="dxa"/>
            <w:vMerge/>
            <w:vAlign w:val="center"/>
          </w:tcPr>
          <w:p w:rsidR="00741B2D" w:rsidRPr="00F35E84" w:rsidRDefault="00741B2D" w:rsidP="00E33B20">
            <w:pPr>
              <w:pStyle w:val="Texto"/>
              <w:spacing w:line="232" w:lineRule="exact"/>
              <w:ind w:firstLine="0"/>
              <w:rPr>
                <w:sz w:val="16"/>
                <w:szCs w:val="16"/>
              </w:rPr>
            </w:pPr>
          </w:p>
        </w:tc>
        <w:tc>
          <w:tcPr>
            <w:tcW w:w="6420" w:type="dxa"/>
            <w:vAlign w:val="center"/>
          </w:tcPr>
          <w:p w:rsidR="00741B2D" w:rsidRPr="00F35E84" w:rsidRDefault="00741B2D" w:rsidP="00E33B20">
            <w:pPr>
              <w:pStyle w:val="Texto"/>
              <w:spacing w:line="232" w:lineRule="exact"/>
              <w:ind w:firstLine="0"/>
              <w:rPr>
                <w:sz w:val="16"/>
                <w:szCs w:val="16"/>
              </w:rPr>
            </w:pPr>
            <w:r w:rsidRPr="00F35E84">
              <w:rPr>
                <w:sz w:val="16"/>
                <w:szCs w:val="16"/>
              </w:rPr>
              <w:t>Transporte marítimo y/o aéreo de personal, Materiales y/o equipos.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32" w:lineRule="exact"/>
              <w:ind w:firstLine="0"/>
              <w:rPr>
                <w:sz w:val="16"/>
                <w:szCs w:val="16"/>
              </w:rPr>
            </w:pPr>
          </w:p>
        </w:tc>
        <w:tc>
          <w:tcPr>
            <w:tcW w:w="1214" w:type="dxa"/>
            <w:vMerge/>
            <w:vAlign w:val="center"/>
          </w:tcPr>
          <w:p w:rsidR="00741B2D" w:rsidRPr="00F35E84" w:rsidRDefault="00741B2D" w:rsidP="00E33B20">
            <w:pPr>
              <w:pStyle w:val="Texto"/>
              <w:spacing w:line="232" w:lineRule="exact"/>
              <w:ind w:firstLine="0"/>
              <w:rPr>
                <w:sz w:val="16"/>
                <w:szCs w:val="16"/>
              </w:rPr>
            </w:pPr>
          </w:p>
        </w:tc>
        <w:tc>
          <w:tcPr>
            <w:tcW w:w="6420" w:type="dxa"/>
            <w:vAlign w:val="center"/>
          </w:tcPr>
          <w:p w:rsidR="00741B2D" w:rsidRPr="00F35E84" w:rsidRDefault="00741B2D" w:rsidP="00E33B20">
            <w:pPr>
              <w:pStyle w:val="Texto"/>
              <w:spacing w:line="232" w:lineRule="exact"/>
              <w:ind w:firstLine="0"/>
              <w:rPr>
                <w:sz w:val="16"/>
                <w:szCs w:val="16"/>
              </w:rPr>
            </w:pPr>
            <w:r w:rsidRPr="00F35E84">
              <w:rPr>
                <w:sz w:val="16"/>
                <w:szCs w:val="16"/>
              </w:rPr>
              <w:t>Servicios de soporte.</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32" w:lineRule="exact"/>
              <w:ind w:firstLine="0"/>
              <w:rPr>
                <w:sz w:val="16"/>
                <w:szCs w:val="16"/>
              </w:rPr>
            </w:pPr>
          </w:p>
        </w:tc>
        <w:tc>
          <w:tcPr>
            <w:tcW w:w="1214" w:type="dxa"/>
            <w:vMerge w:val="restart"/>
            <w:shd w:val="clear" w:color="auto" w:fill="FFFFFF"/>
            <w:vAlign w:val="center"/>
          </w:tcPr>
          <w:p w:rsidR="00741B2D" w:rsidRPr="00F35E84" w:rsidRDefault="00741B2D" w:rsidP="00E33B20">
            <w:pPr>
              <w:pStyle w:val="Texto"/>
              <w:spacing w:line="232" w:lineRule="exact"/>
              <w:ind w:firstLine="0"/>
              <w:rPr>
                <w:sz w:val="16"/>
                <w:szCs w:val="16"/>
              </w:rPr>
            </w:pPr>
            <w:r w:rsidRPr="00F35E84">
              <w:rPr>
                <w:sz w:val="16"/>
                <w:szCs w:val="16"/>
              </w:rPr>
              <w:t>Seguridad, Salud y Medio Ambiente</w:t>
            </w:r>
          </w:p>
        </w:tc>
        <w:tc>
          <w:tcPr>
            <w:tcW w:w="6420" w:type="dxa"/>
            <w:vAlign w:val="center"/>
          </w:tcPr>
          <w:p w:rsidR="00741B2D" w:rsidRPr="00F35E84" w:rsidRDefault="00741B2D" w:rsidP="00E33B20">
            <w:pPr>
              <w:pStyle w:val="Texto"/>
              <w:spacing w:line="232" w:lineRule="exact"/>
              <w:ind w:firstLine="0"/>
              <w:rPr>
                <w:sz w:val="16"/>
                <w:szCs w:val="16"/>
              </w:rPr>
            </w:pPr>
            <w:r w:rsidRPr="00F35E84">
              <w:rPr>
                <w:sz w:val="16"/>
                <w:szCs w:val="16"/>
              </w:rPr>
              <w:t>Estudios de impacto ambiental.</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32" w:lineRule="exact"/>
              <w:ind w:firstLine="0"/>
              <w:rPr>
                <w:sz w:val="16"/>
                <w:szCs w:val="16"/>
              </w:rPr>
            </w:pPr>
          </w:p>
        </w:tc>
        <w:tc>
          <w:tcPr>
            <w:tcW w:w="1214" w:type="dxa"/>
            <w:vMerge/>
            <w:vAlign w:val="center"/>
          </w:tcPr>
          <w:p w:rsidR="00741B2D" w:rsidRPr="00F35E84" w:rsidRDefault="00741B2D" w:rsidP="00E33B20">
            <w:pPr>
              <w:pStyle w:val="Texto"/>
              <w:spacing w:line="232" w:lineRule="exact"/>
              <w:ind w:firstLine="0"/>
              <w:rPr>
                <w:sz w:val="16"/>
                <w:szCs w:val="16"/>
              </w:rPr>
            </w:pPr>
          </w:p>
        </w:tc>
        <w:tc>
          <w:tcPr>
            <w:tcW w:w="6420" w:type="dxa"/>
            <w:vAlign w:val="center"/>
          </w:tcPr>
          <w:p w:rsidR="00741B2D" w:rsidRPr="00F35E84" w:rsidRDefault="00741B2D" w:rsidP="00E33B20">
            <w:pPr>
              <w:pStyle w:val="Texto"/>
              <w:spacing w:line="232" w:lineRule="exact"/>
              <w:ind w:firstLine="0"/>
              <w:rPr>
                <w:sz w:val="16"/>
                <w:szCs w:val="16"/>
              </w:rPr>
            </w:pPr>
            <w:r w:rsidRPr="00F35E84">
              <w:rPr>
                <w:sz w:val="16"/>
                <w:szCs w:val="16"/>
              </w:rPr>
              <w:t>Prevención y detección de incendio y fugas de gas.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32" w:lineRule="exact"/>
              <w:ind w:firstLine="0"/>
              <w:rPr>
                <w:sz w:val="16"/>
                <w:szCs w:val="16"/>
              </w:rPr>
            </w:pPr>
          </w:p>
        </w:tc>
        <w:tc>
          <w:tcPr>
            <w:tcW w:w="1214" w:type="dxa"/>
            <w:vMerge/>
            <w:vAlign w:val="center"/>
          </w:tcPr>
          <w:p w:rsidR="00741B2D" w:rsidRPr="00F35E84" w:rsidRDefault="00741B2D" w:rsidP="00E33B20">
            <w:pPr>
              <w:pStyle w:val="Texto"/>
              <w:spacing w:line="232" w:lineRule="exact"/>
              <w:ind w:firstLine="0"/>
              <w:rPr>
                <w:sz w:val="16"/>
                <w:szCs w:val="16"/>
              </w:rPr>
            </w:pPr>
          </w:p>
        </w:tc>
        <w:tc>
          <w:tcPr>
            <w:tcW w:w="6420" w:type="dxa"/>
            <w:vAlign w:val="center"/>
          </w:tcPr>
          <w:p w:rsidR="00741B2D" w:rsidRPr="00F35E84" w:rsidRDefault="00741B2D" w:rsidP="00E33B20">
            <w:pPr>
              <w:pStyle w:val="Texto"/>
              <w:spacing w:line="232" w:lineRule="exact"/>
              <w:ind w:firstLine="0"/>
              <w:rPr>
                <w:sz w:val="16"/>
                <w:szCs w:val="16"/>
              </w:rPr>
            </w:pPr>
            <w:r w:rsidRPr="00F35E84">
              <w:rPr>
                <w:sz w:val="16"/>
                <w:szCs w:val="16"/>
              </w:rPr>
              <w:t>Tratamiento y eliminación de residuos.</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32" w:lineRule="exact"/>
              <w:ind w:firstLine="0"/>
              <w:rPr>
                <w:sz w:val="16"/>
                <w:szCs w:val="16"/>
              </w:rPr>
            </w:pPr>
          </w:p>
        </w:tc>
        <w:tc>
          <w:tcPr>
            <w:tcW w:w="1214" w:type="dxa"/>
            <w:vMerge/>
            <w:vAlign w:val="center"/>
          </w:tcPr>
          <w:p w:rsidR="00741B2D" w:rsidRPr="00F35E84" w:rsidRDefault="00741B2D" w:rsidP="00E33B20">
            <w:pPr>
              <w:pStyle w:val="Texto"/>
              <w:spacing w:line="232" w:lineRule="exact"/>
              <w:ind w:firstLine="0"/>
              <w:rPr>
                <w:sz w:val="16"/>
                <w:szCs w:val="16"/>
              </w:rPr>
            </w:pPr>
          </w:p>
        </w:tc>
        <w:tc>
          <w:tcPr>
            <w:tcW w:w="6420" w:type="dxa"/>
            <w:vAlign w:val="center"/>
          </w:tcPr>
          <w:p w:rsidR="00741B2D" w:rsidRPr="00F35E84" w:rsidRDefault="00741B2D" w:rsidP="00E33B20">
            <w:pPr>
              <w:pStyle w:val="Texto"/>
              <w:spacing w:line="232" w:lineRule="exact"/>
              <w:ind w:firstLine="0"/>
              <w:rPr>
                <w:sz w:val="16"/>
                <w:szCs w:val="16"/>
              </w:rPr>
            </w:pPr>
            <w:r w:rsidRPr="00F35E84">
              <w:rPr>
                <w:sz w:val="16"/>
                <w:szCs w:val="16"/>
              </w:rPr>
              <w:t>Auditoría ambiental.</w:t>
            </w:r>
          </w:p>
        </w:tc>
      </w:tr>
      <w:tr w:rsidR="00741B2D" w:rsidRPr="00F35E84" w:rsidTr="00E33B20">
        <w:tblPrEx>
          <w:tblCellMar>
            <w:top w:w="0" w:type="dxa"/>
            <w:bottom w:w="0" w:type="dxa"/>
          </w:tblCellMar>
        </w:tblPrEx>
        <w:trPr>
          <w:trHeight w:val="20"/>
        </w:trPr>
        <w:tc>
          <w:tcPr>
            <w:tcW w:w="1078" w:type="dxa"/>
            <w:vMerge/>
            <w:vAlign w:val="center"/>
          </w:tcPr>
          <w:p w:rsidR="00741B2D" w:rsidRPr="00F35E84" w:rsidRDefault="00741B2D" w:rsidP="00E33B20">
            <w:pPr>
              <w:pStyle w:val="Texto"/>
              <w:spacing w:line="232" w:lineRule="exact"/>
              <w:ind w:firstLine="0"/>
              <w:rPr>
                <w:sz w:val="16"/>
                <w:szCs w:val="16"/>
              </w:rPr>
            </w:pPr>
          </w:p>
        </w:tc>
        <w:tc>
          <w:tcPr>
            <w:tcW w:w="1214" w:type="dxa"/>
            <w:vMerge/>
            <w:vAlign w:val="center"/>
          </w:tcPr>
          <w:p w:rsidR="00741B2D" w:rsidRPr="00F35E84" w:rsidRDefault="00741B2D" w:rsidP="00E33B20">
            <w:pPr>
              <w:pStyle w:val="Texto"/>
              <w:spacing w:line="232" w:lineRule="exact"/>
              <w:ind w:firstLine="0"/>
              <w:rPr>
                <w:sz w:val="16"/>
                <w:szCs w:val="16"/>
              </w:rPr>
            </w:pPr>
          </w:p>
        </w:tc>
        <w:tc>
          <w:tcPr>
            <w:tcW w:w="6420" w:type="dxa"/>
            <w:vAlign w:val="center"/>
          </w:tcPr>
          <w:p w:rsidR="00741B2D" w:rsidRPr="00F35E84" w:rsidRDefault="00741B2D" w:rsidP="00E33B20">
            <w:pPr>
              <w:pStyle w:val="Texto"/>
              <w:spacing w:line="232" w:lineRule="exact"/>
              <w:ind w:firstLine="0"/>
              <w:rPr>
                <w:sz w:val="16"/>
                <w:szCs w:val="16"/>
              </w:rPr>
            </w:pPr>
            <w:r w:rsidRPr="00F35E84">
              <w:rPr>
                <w:sz w:val="16"/>
                <w:szCs w:val="16"/>
              </w:rPr>
              <w:t>Auditoría de seguridad.</w:t>
            </w:r>
          </w:p>
        </w:tc>
      </w:tr>
    </w:tbl>
    <w:p w:rsidR="00741B2D" w:rsidRPr="005716C5" w:rsidRDefault="00741B2D" w:rsidP="00741B2D">
      <w:pPr>
        <w:pStyle w:val="Texto"/>
        <w:spacing w:line="232" w:lineRule="exact"/>
        <w:rPr>
          <w:szCs w:val="24"/>
        </w:rPr>
      </w:pPr>
    </w:p>
    <w:p w:rsidR="00741B2D" w:rsidRPr="005716C5" w:rsidRDefault="00741B2D" w:rsidP="00741B2D">
      <w:pPr>
        <w:pStyle w:val="ROMANOS"/>
        <w:spacing w:line="232" w:lineRule="exact"/>
      </w:pPr>
      <w:r>
        <w:tab/>
      </w:r>
      <w:r w:rsidRPr="005716C5">
        <w:t>Los Costos se identificarán de acuerdo a las Normas de Información Financiera vigentes en México y se asignarán, en primer término, al Centro de Costos de cada Pozo que le dio origen; en segundo término, al Centro de Costos de cada Yacimiento; en tercer término, al Centro de Costos de cada Campo; y finalmente, se asignarán al Centro de Costos de infraestructura común o de administración general de cada Área Contractual o Área de Asignación conforme a la siguiente estructura:</w:t>
      </w:r>
    </w:p>
    <w:p w:rsidR="00741B2D" w:rsidRPr="005716C5" w:rsidRDefault="00741B2D" w:rsidP="00741B2D">
      <w:pPr>
        <w:pStyle w:val="ROMANOS"/>
        <w:spacing w:line="232" w:lineRule="exact"/>
      </w:pPr>
      <w:r>
        <w:tab/>
      </w:r>
      <w:r w:rsidRPr="005716C5">
        <w:t>(Tabla)</w:t>
      </w:r>
      <w:r w:rsidRPr="00C32CE0">
        <w:rPr>
          <w:b/>
        </w:rPr>
        <w:t>…</w:t>
      </w:r>
    </w:p>
    <w:p w:rsidR="00741B2D" w:rsidRPr="005716C5" w:rsidRDefault="00741B2D" w:rsidP="00741B2D">
      <w:pPr>
        <w:pStyle w:val="ROMANOS"/>
        <w:spacing w:line="232" w:lineRule="exact"/>
      </w:pPr>
      <w:r>
        <w:tab/>
      </w:r>
      <w:r w:rsidRPr="005716C5">
        <w:t>La delimitación del Campo deberá considerar los Planes de Desarrollo aprobados por la CNH para el Área Contractual o Área de Asignación.</w:t>
      </w:r>
    </w:p>
    <w:p w:rsidR="00741B2D" w:rsidRPr="00C32CE0" w:rsidRDefault="00741B2D" w:rsidP="00741B2D">
      <w:pPr>
        <w:pStyle w:val="ROMANOS"/>
        <w:spacing w:line="232" w:lineRule="exact"/>
        <w:rPr>
          <w:b/>
        </w:rPr>
      </w:pPr>
      <w:r>
        <w:tab/>
      </w:r>
      <w:r w:rsidRPr="00C32CE0">
        <w:rPr>
          <w:b/>
        </w:rPr>
        <w:t>...</w:t>
      </w:r>
    </w:p>
    <w:p w:rsidR="00741B2D" w:rsidRPr="005716C5" w:rsidRDefault="00741B2D" w:rsidP="00741B2D">
      <w:pPr>
        <w:pStyle w:val="ROMANOS"/>
        <w:spacing w:line="232" w:lineRule="exact"/>
      </w:pPr>
      <w:r>
        <w:tab/>
      </w:r>
      <w:r w:rsidRPr="005716C5">
        <w:t>Las cuentas contables se agruparán por categoría de costos conforme al catálogo de cuentas contables que para tal efecto se establezca en el sistema informático del FMP.</w:t>
      </w:r>
    </w:p>
    <w:p w:rsidR="00741B2D" w:rsidRPr="005716C5" w:rsidRDefault="00741B2D" w:rsidP="00741B2D">
      <w:pPr>
        <w:pStyle w:val="ROMANOS"/>
        <w:spacing w:line="232" w:lineRule="exact"/>
      </w:pPr>
      <w:r w:rsidRPr="005716C5">
        <w:rPr>
          <w:b/>
        </w:rPr>
        <w:t>9.</w:t>
      </w:r>
      <w:r w:rsidRPr="005716C5">
        <w:tab/>
        <w:t>El Contratista y el Asignatario deberán contar con un sistema electrónico que permita la elaboración de registros y generación de reportes de las operaciones financieras y contables para la transferencia electrónica de la contabilidad, información y documentación relacionada con los Costos sobre las operaciones de la Cuenta Operativa al sistema informático que para tal efecto se establezca en el sistema informático del FMP. La información deberá contar con las especificaciones establecidas por el FMP, mismas que tendrán que actualizarse de acuerdo a las modificaciones que se emitan para tal efecto.</w:t>
      </w:r>
    </w:p>
    <w:p w:rsidR="00741B2D" w:rsidRPr="005716C5" w:rsidRDefault="00741B2D" w:rsidP="00741B2D">
      <w:pPr>
        <w:pStyle w:val="Texto"/>
        <w:spacing w:line="232" w:lineRule="exact"/>
        <w:rPr>
          <w:b/>
          <w:szCs w:val="24"/>
        </w:rPr>
      </w:pPr>
      <w:r w:rsidRPr="005716C5">
        <w:rPr>
          <w:b/>
          <w:szCs w:val="24"/>
        </w:rPr>
        <w:lastRenderedPageBreak/>
        <w:t>Sección IV. Requisitos de la información y documentación relacionada con los Costos.</w:t>
      </w:r>
    </w:p>
    <w:p w:rsidR="00741B2D" w:rsidRPr="005716C5" w:rsidRDefault="00741B2D" w:rsidP="00741B2D">
      <w:pPr>
        <w:pStyle w:val="ROMANOS"/>
        <w:spacing w:line="232" w:lineRule="exact"/>
      </w:pPr>
      <w:r w:rsidRPr="005716C5">
        <w:rPr>
          <w:b/>
        </w:rPr>
        <w:t>10.</w:t>
      </w:r>
      <w:r w:rsidRPr="005716C5">
        <w:tab/>
        <w:t>La información y documentación relacionada con los Costos deberán contener, según el caso:</w:t>
      </w:r>
    </w:p>
    <w:p w:rsidR="00741B2D" w:rsidRPr="00C32CE0" w:rsidRDefault="00741B2D" w:rsidP="00741B2D">
      <w:pPr>
        <w:pStyle w:val="INCISO"/>
        <w:spacing w:line="232" w:lineRule="exact"/>
        <w:rPr>
          <w:b/>
        </w:rPr>
      </w:pPr>
      <w:r w:rsidRPr="00C32CE0">
        <w:rPr>
          <w:b/>
        </w:rPr>
        <w:t>I. a III. …</w:t>
      </w:r>
    </w:p>
    <w:p w:rsidR="00741B2D" w:rsidRPr="005716C5" w:rsidRDefault="00741B2D" w:rsidP="00741B2D">
      <w:pPr>
        <w:pStyle w:val="INCISO"/>
        <w:spacing w:line="232" w:lineRule="exact"/>
      </w:pPr>
      <w:r w:rsidRPr="00C32CE0">
        <w:rPr>
          <w:b/>
        </w:rPr>
        <w:t xml:space="preserve">IV. </w:t>
      </w:r>
      <w:r w:rsidRPr="00C32CE0">
        <w:rPr>
          <w:b/>
        </w:rPr>
        <w:tab/>
      </w:r>
      <w:r w:rsidRPr="005716C5">
        <w:t>Comprobante de pago (transferencias y/o cheques). Los pagos cuyo monto exceda de $2,000.00 M.N. (dos mil pesos), se efectuarán mediante transferencia electrónica de fondos desde cuentas abiertas a nombre del Contratista o Asignatario en Instituciones que componen el Sistema Financiero Mexicano y las entidades que para tal efecto autorice el Banco de México; cheque nominativo de la cuenta del Contratista o Asignatario, tarjeta de crédito, débito o de servicios;</w:t>
      </w:r>
    </w:p>
    <w:p w:rsidR="00741B2D" w:rsidRPr="00C32CE0" w:rsidRDefault="00741B2D" w:rsidP="00741B2D">
      <w:pPr>
        <w:pStyle w:val="INCISO"/>
        <w:spacing w:line="232" w:lineRule="exact"/>
        <w:rPr>
          <w:b/>
        </w:rPr>
      </w:pPr>
      <w:r w:rsidRPr="00C32CE0">
        <w:rPr>
          <w:b/>
        </w:rPr>
        <w:t>V.</w:t>
      </w:r>
      <w:r w:rsidRPr="00C32CE0">
        <w:rPr>
          <w:b/>
        </w:rPr>
        <w:tab/>
        <w:t>…</w:t>
      </w:r>
    </w:p>
    <w:p w:rsidR="00741B2D" w:rsidRPr="00C32CE0" w:rsidRDefault="00741B2D" w:rsidP="00741B2D">
      <w:pPr>
        <w:pStyle w:val="INCISO"/>
        <w:rPr>
          <w:b/>
        </w:rPr>
      </w:pPr>
      <w:proofErr w:type="gramStart"/>
      <w:r w:rsidRPr="00C32CE0">
        <w:rPr>
          <w:b/>
        </w:rPr>
        <w:t>VI.</w:t>
      </w:r>
      <w:proofErr w:type="gramEnd"/>
      <w:r w:rsidRPr="00C32CE0">
        <w:rPr>
          <w:b/>
        </w:rPr>
        <w:tab/>
        <w:t>…</w:t>
      </w:r>
    </w:p>
    <w:p w:rsidR="00741B2D" w:rsidRPr="00C32CE0" w:rsidRDefault="00741B2D" w:rsidP="00741B2D">
      <w:pPr>
        <w:pStyle w:val="Texto"/>
        <w:ind w:left="1829" w:hanging="432"/>
        <w:rPr>
          <w:b/>
          <w:szCs w:val="24"/>
        </w:rPr>
      </w:pPr>
      <w:r w:rsidRPr="005716C5">
        <w:rPr>
          <w:b/>
          <w:szCs w:val="24"/>
        </w:rPr>
        <w:t>a)</w:t>
      </w:r>
      <w:r w:rsidRPr="005716C5">
        <w:rPr>
          <w:b/>
          <w:szCs w:val="24"/>
        </w:rPr>
        <w:tab/>
      </w:r>
      <w:r w:rsidRPr="00C32CE0">
        <w:rPr>
          <w:b/>
          <w:szCs w:val="24"/>
        </w:rPr>
        <w:t>…</w:t>
      </w:r>
    </w:p>
    <w:p w:rsidR="00741B2D" w:rsidRPr="00C32CE0" w:rsidRDefault="00741B2D" w:rsidP="00741B2D">
      <w:pPr>
        <w:pStyle w:val="Texto"/>
        <w:ind w:left="2261" w:hanging="432"/>
        <w:rPr>
          <w:b/>
          <w:szCs w:val="24"/>
        </w:rPr>
      </w:pPr>
      <w:proofErr w:type="gramStart"/>
      <w:r w:rsidRPr="005716C5">
        <w:rPr>
          <w:b/>
          <w:szCs w:val="24"/>
        </w:rPr>
        <w:t>i</w:t>
      </w:r>
      <w:proofErr w:type="gramEnd"/>
      <w:r w:rsidRPr="005716C5">
        <w:rPr>
          <w:b/>
          <w:szCs w:val="24"/>
        </w:rPr>
        <w:t>.</w:t>
      </w:r>
      <w:r w:rsidRPr="005716C5">
        <w:rPr>
          <w:b/>
          <w:szCs w:val="24"/>
        </w:rPr>
        <w:tab/>
      </w:r>
      <w:r w:rsidRPr="00C32CE0">
        <w:rPr>
          <w:b/>
          <w:szCs w:val="24"/>
        </w:rPr>
        <w:t>…</w:t>
      </w:r>
    </w:p>
    <w:p w:rsidR="00741B2D" w:rsidRPr="00C32CE0" w:rsidRDefault="00741B2D" w:rsidP="00741B2D">
      <w:pPr>
        <w:pStyle w:val="Texto"/>
        <w:ind w:left="2261" w:hanging="432"/>
        <w:rPr>
          <w:b/>
          <w:szCs w:val="24"/>
        </w:rPr>
      </w:pPr>
      <w:proofErr w:type="spellStart"/>
      <w:r w:rsidRPr="005716C5">
        <w:rPr>
          <w:b/>
          <w:szCs w:val="24"/>
        </w:rPr>
        <w:t>ii</w:t>
      </w:r>
      <w:proofErr w:type="spellEnd"/>
      <w:r w:rsidRPr="005716C5">
        <w:rPr>
          <w:b/>
          <w:szCs w:val="24"/>
        </w:rPr>
        <w:t>.</w:t>
      </w:r>
      <w:r w:rsidRPr="005716C5">
        <w:rPr>
          <w:b/>
          <w:szCs w:val="24"/>
        </w:rPr>
        <w:tab/>
      </w:r>
      <w:r w:rsidRPr="00C32CE0">
        <w:rPr>
          <w:b/>
          <w:szCs w:val="24"/>
        </w:rPr>
        <w:t>…</w:t>
      </w:r>
    </w:p>
    <w:p w:rsidR="00741B2D" w:rsidRPr="005716C5" w:rsidRDefault="00741B2D" w:rsidP="00741B2D">
      <w:pPr>
        <w:pStyle w:val="Texto"/>
        <w:ind w:left="2261" w:hanging="432"/>
        <w:rPr>
          <w:szCs w:val="24"/>
        </w:rPr>
      </w:pPr>
      <w:proofErr w:type="spellStart"/>
      <w:r w:rsidRPr="005716C5">
        <w:rPr>
          <w:b/>
          <w:szCs w:val="24"/>
        </w:rPr>
        <w:t>iii</w:t>
      </w:r>
      <w:proofErr w:type="spellEnd"/>
      <w:r w:rsidRPr="005716C5">
        <w:rPr>
          <w:b/>
          <w:szCs w:val="24"/>
        </w:rPr>
        <w:t>.</w:t>
      </w:r>
      <w:r w:rsidRPr="005716C5">
        <w:rPr>
          <w:b/>
          <w:szCs w:val="24"/>
        </w:rPr>
        <w:tab/>
      </w:r>
      <w:r w:rsidRPr="005716C5">
        <w:rPr>
          <w:szCs w:val="24"/>
        </w:rPr>
        <w:t>Monto global estimado de los Costos de abandono conforme al Plan de Exploración, el Plan de Desarrollo para la Extracción y la Norma de Información Financiera C-18, y</w:t>
      </w:r>
    </w:p>
    <w:p w:rsidR="00741B2D" w:rsidRPr="00C32CE0" w:rsidRDefault="00741B2D" w:rsidP="00741B2D">
      <w:pPr>
        <w:pStyle w:val="Texto"/>
        <w:ind w:left="1829" w:hanging="432"/>
        <w:rPr>
          <w:b/>
          <w:szCs w:val="24"/>
        </w:rPr>
      </w:pPr>
      <w:r w:rsidRPr="005716C5">
        <w:rPr>
          <w:b/>
          <w:szCs w:val="24"/>
        </w:rPr>
        <w:t>b)</w:t>
      </w:r>
      <w:r w:rsidRPr="005716C5">
        <w:rPr>
          <w:b/>
          <w:szCs w:val="24"/>
        </w:rPr>
        <w:tab/>
      </w:r>
      <w:r w:rsidRPr="00C32CE0">
        <w:rPr>
          <w:b/>
          <w:szCs w:val="24"/>
        </w:rPr>
        <w:t>…</w:t>
      </w:r>
    </w:p>
    <w:p w:rsidR="00741B2D" w:rsidRPr="00C32CE0" w:rsidRDefault="00741B2D" w:rsidP="00741B2D">
      <w:pPr>
        <w:pStyle w:val="Texto"/>
        <w:ind w:left="2261" w:hanging="432"/>
        <w:rPr>
          <w:b/>
          <w:szCs w:val="24"/>
        </w:rPr>
      </w:pPr>
      <w:proofErr w:type="gramStart"/>
      <w:r w:rsidRPr="005716C5">
        <w:rPr>
          <w:szCs w:val="24"/>
        </w:rPr>
        <w:t>i</w:t>
      </w:r>
      <w:proofErr w:type="gramEnd"/>
      <w:r w:rsidRPr="005716C5">
        <w:rPr>
          <w:szCs w:val="24"/>
        </w:rPr>
        <w:t>.</w:t>
      </w:r>
      <w:r w:rsidRPr="005716C5">
        <w:rPr>
          <w:szCs w:val="24"/>
        </w:rPr>
        <w:tab/>
      </w:r>
      <w:r w:rsidRPr="00C32CE0">
        <w:rPr>
          <w:b/>
          <w:szCs w:val="24"/>
        </w:rPr>
        <w:t>…</w:t>
      </w:r>
    </w:p>
    <w:p w:rsidR="00741B2D" w:rsidRPr="005716C5" w:rsidRDefault="00741B2D" w:rsidP="00741B2D">
      <w:pPr>
        <w:pStyle w:val="Texto"/>
        <w:rPr>
          <w:b/>
          <w:szCs w:val="24"/>
        </w:rPr>
      </w:pPr>
      <w:r w:rsidRPr="005716C5">
        <w:rPr>
          <w:b/>
          <w:szCs w:val="24"/>
        </w:rPr>
        <w:t>Sección V. De la conversión de Costos pagados en Moneda Extranjera.</w:t>
      </w:r>
    </w:p>
    <w:p w:rsidR="00741B2D" w:rsidRPr="005716C5" w:rsidRDefault="00741B2D" w:rsidP="00741B2D">
      <w:pPr>
        <w:pStyle w:val="ROMANOS"/>
      </w:pPr>
      <w:r w:rsidRPr="005716C5">
        <w:rPr>
          <w:b/>
        </w:rPr>
        <w:t>11.</w:t>
      </w:r>
      <w:r w:rsidRPr="005716C5">
        <w:tab/>
        <w:t xml:space="preserve">Para la conversión de los Costos en Moneda Extranjera, se considerará el tipo de cambio de la Moneda de Registro con el dólar de los Estados Unidos de América hasta la diezmilésima cifra que el Banco de México publique en el Diario Oficial de la Federación el día hábil anterior a aquél en que </w:t>
      </w:r>
      <w:r>
        <w:t xml:space="preserve"> </w:t>
      </w:r>
      <w:r w:rsidRPr="005716C5">
        <w:t xml:space="preserve">se realice la transacción. Los días en que el Banco de México no publique dicho tipo de cambio, se </w:t>
      </w:r>
      <w:proofErr w:type="gramStart"/>
      <w:r w:rsidRPr="005716C5">
        <w:t>aplicará</w:t>
      </w:r>
      <w:proofErr w:type="gramEnd"/>
      <w:r w:rsidRPr="005716C5">
        <w:t xml:space="preserve"> el último tipo de cambio publicado con anterioridad al día en que se realice la transacción.</w:t>
      </w:r>
    </w:p>
    <w:p w:rsidR="00741B2D" w:rsidRPr="00C32CE0" w:rsidRDefault="00741B2D" w:rsidP="00741B2D">
      <w:pPr>
        <w:pStyle w:val="ROMANOS"/>
        <w:rPr>
          <w:b/>
        </w:rPr>
      </w:pPr>
      <w:r>
        <w:tab/>
      </w:r>
      <w:r w:rsidRPr="00C32CE0">
        <w:rPr>
          <w:b/>
        </w:rPr>
        <w:t>…</w:t>
      </w:r>
    </w:p>
    <w:p w:rsidR="00741B2D" w:rsidRPr="00C32CE0" w:rsidRDefault="00741B2D" w:rsidP="00741B2D">
      <w:pPr>
        <w:pStyle w:val="ROMANOS"/>
        <w:rPr>
          <w:b/>
        </w:rPr>
      </w:pPr>
      <w:r>
        <w:tab/>
      </w:r>
      <w:r w:rsidRPr="00C32CE0">
        <w:rPr>
          <w:b/>
        </w:rPr>
        <w:t>…</w:t>
      </w:r>
    </w:p>
    <w:p w:rsidR="00741B2D" w:rsidRPr="005716C5" w:rsidRDefault="00741B2D" w:rsidP="00741B2D">
      <w:pPr>
        <w:pStyle w:val="Texto"/>
        <w:rPr>
          <w:b/>
          <w:szCs w:val="24"/>
        </w:rPr>
      </w:pPr>
      <w:r w:rsidRPr="005716C5">
        <w:rPr>
          <w:b/>
          <w:szCs w:val="24"/>
        </w:rPr>
        <w:t>Sección VI. De los Costos Elegibles.</w:t>
      </w:r>
    </w:p>
    <w:p w:rsidR="00741B2D" w:rsidRPr="005716C5" w:rsidRDefault="00741B2D" w:rsidP="00741B2D">
      <w:pPr>
        <w:pStyle w:val="ROMANOS"/>
      </w:pPr>
      <w:r w:rsidRPr="005716C5">
        <w:rPr>
          <w:b/>
        </w:rPr>
        <w:t>12.</w:t>
      </w:r>
      <w:r w:rsidRPr="005716C5">
        <w:tab/>
      </w:r>
      <w:r w:rsidRPr="005716C5">
        <w:rPr>
          <w:b/>
        </w:rPr>
        <w:t>Costos Elegibles:</w:t>
      </w:r>
      <w:r w:rsidRPr="005716C5">
        <w:t xml:space="preserve"> Se considerarán Costos Elegibles aquéllos que sean estrictamente indispensables para la realización de las Actividades Petroleras incurridas a partir de la Fecha Efectiva y hasta la terminación del Contrato o Asignación, siempre y cuando cumplan con los requisitos señalados en los presentes Lineamientos.</w:t>
      </w:r>
    </w:p>
    <w:p w:rsidR="00741B2D" w:rsidRPr="005716C5" w:rsidRDefault="00741B2D" w:rsidP="00741B2D">
      <w:pPr>
        <w:pStyle w:val="ROMANOS"/>
      </w:pPr>
      <w:r w:rsidRPr="005716C5">
        <w:rPr>
          <w:b/>
        </w:rPr>
        <w:t>13.</w:t>
      </w:r>
      <w:r w:rsidRPr="005716C5">
        <w:tab/>
      </w:r>
      <w:r>
        <w:rPr>
          <w:b/>
        </w:rPr>
        <w:t>No se considerará</w:t>
      </w:r>
      <w:r w:rsidRPr="005716C5">
        <w:rPr>
          <w:b/>
        </w:rPr>
        <w:t>n como Costos Elegibles:</w:t>
      </w:r>
      <w:r w:rsidRPr="005716C5">
        <w:t xml:space="preserve"> aquellos que no sean estrictamente indispensables o no sean inherentes al objeto del Contrato; los que no cumplan con los presentes Lineamientos y se realicen antes de la Fecha Efectiva y después de terminado el Contrato o Asignación; aquellos que se efectúen después del Punto de Medición; los que no cuenten con el respaldo documental correspondiente o que no hayan sido registrados en la Cuenta Operativa y, en su caso, todos aquellos cuyo ejercicio no haya sido contemplado en los Presupuestos y Programas de Trabajo vigentes aprobados por la CNH.</w:t>
      </w:r>
    </w:p>
    <w:p w:rsidR="00741B2D" w:rsidRPr="005716C5" w:rsidRDefault="00741B2D" w:rsidP="00741B2D">
      <w:pPr>
        <w:pStyle w:val="Texto"/>
        <w:rPr>
          <w:b/>
          <w:szCs w:val="24"/>
        </w:rPr>
      </w:pPr>
      <w:r w:rsidRPr="005716C5">
        <w:rPr>
          <w:b/>
          <w:szCs w:val="24"/>
        </w:rPr>
        <w:t>Sección VII. De los Costos Recuperables en Contratos y deducibles en Asignaciones.</w:t>
      </w:r>
    </w:p>
    <w:p w:rsidR="00741B2D" w:rsidRPr="00C32CE0" w:rsidRDefault="00741B2D" w:rsidP="00741B2D">
      <w:pPr>
        <w:pStyle w:val="ROMANOS"/>
        <w:rPr>
          <w:b/>
        </w:rPr>
      </w:pPr>
      <w:r w:rsidRPr="00C32CE0">
        <w:rPr>
          <w:b/>
        </w:rPr>
        <w:t>14.</w:t>
      </w:r>
      <w:r w:rsidRPr="00C32CE0">
        <w:rPr>
          <w:b/>
        </w:rPr>
        <w:tab/>
        <w:t>Se deroga</w:t>
      </w:r>
    </w:p>
    <w:p w:rsidR="00741B2D" w:rsidRPr="005716C5" w:rsidRDefault="00741B2D" w:rsidP="00741B2D">
      <w:pPr>
        <w:pStyle w:val="ROMANOS"/>
      </w:pPr>
      <w:r>
        <w:tab/>
      </w:r>
      <w:r w:rsidRPr="005716C5">
        <w:t>Para la aplicación de los Costos Recuperables se deberán de considerar, en primer término, los gastos operativos y, en segundo lugar, las inversiones.</w:t>
      </w:r>
    </w:p>
    <w:p w:rsidR="00741B2D" w:rsidRPr="00C32CE0" w:rsidRDefault="00741B2D" w:rsidP="00741B2D">
      <w:pPr>
        <w:pStyle w:val="ROMANOS"/>
        <w:rPr>
          <w:b/>
        </w:rPr>
      </w:pPr>
      <w:r>
        <w:tab/>
      </w:r>
      <w:r w:rsidRPr="00C32CE0">
        <w:rPr>
          <w:b/>
        </w:rPr>
        <w:t>…</w:t>
      </w:r>
    </w:p>
    <w:p w:rsidR="00741B2D" w:rsidRPr="005716C5" w:rsidRDefault="00741B2D" w:rsidP="00741B2D">
      <w:pPr>
        <w:pStyle w:val="ROMANOS"/>
      </w:pPr>
      <w:r>
        <w:tab/>
      </w:r>
      <w:r w:rsidRPr="005716C5">
        <w:t>La recuperación de Costos a favor del Contratista se pagará una vez que el Contratista inicie la Producción Contractual, por lo que, en tanto no exista Producción Contractual, bajo ninguna circunstancia serán exigibles las Contraprestaciones a favor del Contratista ni se le otorgará anticipo alguno.</w:t>
      </w:r>
    </w:p>
    <w:p w:rsidR="00741B2D" w:rsidRPr="005716C5" w:rsidRDefault="00741B2D" w:rsidP="00741B2D">
      <w:pPr>
        <w:pStyle w:val="ROMANOS"/>
      </w:pPr>
      <w:r>
        <w:lastRenderedPageBreak/>
        <w:tab/>
      </w:r>
      <w:r w:rsidRPr="005716C5">
        <w:t>Para el Asignatario las deducciones de Costos conforme al artículo 41 de la Ley se aplicarán en tanto el T</w:t>
      </w:r>
      <w:r>
        <w:t>í</w:t>
      </w:r>
      <w:r w:rsidRPr="005716C5">
        <w:t>tulo de Asignación esté vigente.</w:t>
      </w:r>
    </w:p>
    <w:p w:rsidR="00741B2D" w:rsidRPr="005716C5" w:rsidRDefault="00741B2D" w:rsidP="00741B2D">
      <w:pPr>
        <w:pStyle w:val="ROMANOS"/>
      </w:pPr>
      <w:r w:rsidRPr="00C32CE0">
        <w:rPr>
          <w:b/>
        </w:rPr>
        <w:t>15.</w:t>
      </w:r>
      <w:r w:rsidRPr="00C32CE0">
        <w:rPr>
          <w:b/>
        </w:rPr>
        <w:tab/>
      </w:r>
      <w:r w:rsidRPr="005716C5">
        <w:t>No serán considerados Costos Elegibles y por ende Costos Recuperables en Contratos y deducibles en Asignaciones, los conceptos que se enuncian a continuación, aun cuando se encuentren relacionados directa o indirectamente con las actividades inherentes al Contrato o Asignación:</w:t>
      </w:r>
    </w:p>
    <w:p w:rsidR="00741B2D" w:rsidRPr="005716C5" w:rsidRDefault="00741B2D" w:rsidP="00741B2D">
      <w:pPr>
        <w:pStyle w:val="Texto"/>
        <w:ind w:left="1440" w:hanging="720"/>
        <w:rPr>
          <w:szCs w:val="24"/>
        </w:rPr>
      </w:pPr>
      <w:r w:rsidRPr="005716C5">
        <w:rPr>
          <w:b/>
          <w:szCs w:val="24"/>
        </w:rPr>
        <w:t xml:space="preserve">I. </w:t>
      </w:r>
      <w:r w:rsidRPr="005716C5">
        <w:rPr>
          <w:b/>
          <w:szCs w:val="24"/>
        </w:rPr>
        <w:tab/>
      </w:r>
      <w:r w:rsidRPr="005716C5">
        <w:rPr>
          <w:szCs w:val="24"/>
        </w:rPr>
        <w:t xml:space="preserve">Cualquier costo, gasto e inversión </w:t>
      </w:r>
      <w:proofErr w:type="gramStart"/>
      <w:r w:rsidRPr="005716C5">
        <w:rPr>
          <w:szCs w:val="24"/>
        </w:rPr>
        <w:t>distinto</w:t>
      </w:r>
      <w:proofErr w:type="gramEnd"/>
      <w:r w:rsidRPr="005716C5">
        <w:rPr>
          <w:szCs w:val="24"/>
        </w:rPr>
        <w:t xml:space="preserve"> de los Costos Elegibles;</w:t>
      </w:r>
    </w:p>
    <w:p w:rsidR="00741B2D" w:rsidRPr="005716C5" w:rsidRDefault="00741B2D" w:rsidP="00741B2D">
      <w:pPr>
        <w:pStyle w:val="Texto"/>
        <w:ind w:left="1440" w:hanging="720"/>
        <w:rPr>
          <w:szCs w:val="24"/>
        </w:rPr>
      </w:pPr>
      <w:r w:rsidRPr="005716C5">
        <w:rPr>
          <w:b/>
          <w:szCs w:val="24"/>
        </w:rPr>
        <w:t>II.</w:t>
      </w:r>
      <w:r w:rsidRPr="005716C5">
        <w:rPr>
          <w:b/>
          <w:szCs w:val="24"/>
        </w:rPr>
        <w:tab/>
      </w:r>
      <w:r w:rsidRPr="005716C5">
        <w:rPr>
          <w:szCs w:val="24"/>
        </w:rPr>
        <w:t>Los Costos cuyos rubros o actividades no se hayan incluido en los Presupuestos y Programas de Trabajo aprobados por la CNH, o aquellos en exceso de los Costos que habiendo sido contemplados en el Presupuesto vigente (i) eleven el Presupuesto total por arriba del 5% (cinco por ciento) del monto vigente aprobado por la CNH, o (</w:t>
      </w:r>
      <w:proofErr w:type="spellStart"/>
      <w:r w:rsidRPr="005716C5">
        <w:rPr>
          <w:szCs w:val="24"/>
        </w:rPr>
        <w:t>ii</w:t>
      </w:r>
      <w:proofErr w:type="spellEnd"/>
      <w:r w:rsidRPr="005716C5">
        <w:rPr>
          <w:szCs w:val="24"/>
        </w:rPr>
        <w:t>) eleven el Presupuesto contemplado para el rubro o actividad conforme al catálogo de cuentas contables por arriba del 10% (diez por ciento) de dicho Presupuesto;</w:t>
      </w:r>
    </w:p>
    <w:p w:rsidR="00741B2D" w:rsidRPr="00C32CE0" w:rsidRDefault="00741B2D" w:rsidP="00741B2D">
      <w:pPr>
        <w:pStyle w:val="Texto"/>
        <w:ind w:left="1440" w:hanging="720"/>
        <w:rPr>
          <w:b/>
          <w:szCs w:val="24"/>
        </w:rPr>
      </w:pPr>
      <w:r w:rsidRPr="005716C5">
        <w:rPr>
          <w:b/>
          <w:szCs w:val="24"/>
        </w:rPr>
        <w:t>III.</w:t>
      </w:r>
      <w:r w:rsidRPr="005716C5">
        <w:rPr>
          <w:szCs w:val="24"/>
        </w:rPr>
        <w:t xml:space="preserve"> a </w:t>
      </w:r>
      <w:r w:rsidRPr="005716C5">
        <w:rPr>
          <w:b/>
          <w:szCs w:val="24"/>
        </w:rPr>
        <w:t>V</w:t>
      </w:r>
      <w:r w:rsidRPr="00C32CE0">
        <w:rPr>
          <w:b/>
          <w:szCs w:val="24"/>
        </w:rPr>
        <w:t>.…</w:t>
      </w:r>
    </w:p>
    <w:p w:rsidR="00741B2D" w:rsidRPr="005716C5" w:rsidRDefault="00741B2D" w:rsidP="00741B2D">
      <w:pPr>
        <w:pStyle w:val="Texto"/>
        <w:spacing w:after="96"/>
        <w:ind w:left="1440" w:hanging="720"/>
        <w:rPr>
          <w:szCs w:val="24"/>
        </w:rPr>
      </w:pPr>
      <w:r w:rsidRPr="005716C5">
        <w:rPr>
          <w:b/>
          <w:szCs w:val="24"/>
        </w:rPr>
        <w:t>VI.</w:t>
      </w:r>
      <w:r w:rsidRPr="005716C5">
        <w:rPr>
          <w:szCs w:val="24"/>
        </w:rPr>
        <w:t xml:space="preserve"> </w:t>
      </w:r>
      <w:r w:rsidRPr="005716C5">
        <w:rPr>
          <w:szCs w:val="24"/>
        </w:rPr>
        <w:tab/>
        <w:t>Los Costos por concepto de servidumbres, derechos de vía, ocupaciones temporales o permanentes, arrendamientos o adquisición de terrenos, indemnizaciones y cualquier otra figura análoga, que se derive de lo dispuesto en el artículo 27 y en el Capítulo IV del Título IV de la Ley de Hidrocarburos;</w:t>
      </w:r>
    </w:p>
    <w:p w:rsidR="00741B2D" w:rsidRPr="005716C5" w:rsidRDefault="00741B2D" w:rsidP="00741B2D">
      <w:pPr>
        <w:pStyle w:val="Texto"/>
        <w:spacing w:after="96"/>
        <w:ind w:left="1440" w:hanging="720"/>
        <w:rPr>
          <w:szCs w:val="24"/>
        </w:rPr>
      </w:pPr>
      <w:r w:rsidRPr="005716C5">
        <w:rPr>
          <w:b/>
          <w:szCs w:val="24"/>
        </w:rPr>
        <w:t>VII.</w:t>
      </w:r>
      <w:r w:rsidRPr="005716C5">
        <w:rPr>
          <w:b/>
          <w:szCs w:val="24"/>
        </w:rPr>
        <w:tab/>
      </w:r>
      <w:r w:rsidRPr="005716C5">
        <w:rPr>
          <w:szCs w:val="24"/>
        </w:rPr>
        <w:t>Los costos y gastos en que se incurra por cualquier tipo de servicios jurídicos y de asesoría, excepto los que se deriven de estudios geológicos para la Exploración y Extracción de Hidrocarburos que hayan sido aprobados en el Programa de Trabajo y su respectivo Presupuesto;</w:t>
      </w:r>
    </w:p>
    <w:p w:rsidR="00741B2D" w:rsidRPr="00C32CE0" w:rsidRDefault="00741B2D" w:rsidP="00741B2D">
      <w:pPr>
        <w:pStyle w:val="Texto"/>
        <w:spacing w:after="96"/>
        <w:ind w:left="1440" w:hanging="720"/>
        <w:rPr>
          <w:b/>
          <w:szCs w:val="24"/>
        </w:rPr>
      </w:pPr>
      <w:r w:rsidRPr="005716C5">
        <w:rPr>
          <w:b/>
          <w:szCs w:val="24"/>
        </w:rPr>
        <w:t>VIII.</w:t>
      </w:r>
      <w:r w:rsidRPr="005716C5">
        <w:rPr>
          <w:szCs w:val="24"/>
        </w:rPr>
        <w:tab/>
      </w:r>
      <w:r w:rsidRPr="00C32CE0">
        <w:rPr>
          <w:b/>
          <w:szCs w:val="24"/>
        </w:rPr>
        <w:t>…</w:t>
      </w:r>
    </w:p>
    <w:p w:rsidR="00741B2D" w:rsidRPr="005716C5" w:rsidRDefault="00741B2D" w:rsidP="00741B2D">
      <w:pPr>
        <w:pStyle w:val="Texto"/>
        <w:spacing w:after="96"/>
        <w:ind w:left="1440" w:hanging="720"/>
        <w:rPr>
          <w:szCs w:val="24"/>
        </w:rPr>
      </w:pPr>
      <w:r w:rsidRPr="005716C5">
        <w:rPr>
          <w:b/>
          <w:szCs w:val="24"/>
        </w:rPr>
        <w:t>IX.</w:t>
      </w:r>
      <w:r w:rsidRPr="005716C5">
        <w:rPr>
          <w:b/>
          <w:szCs w:val="24"/>
        </w:rPr>
        <w:tab/>
      </w:r>
      <w:r w:rsidRPr="005716C5">
        <w:rPr>
          <w:szCs w:val="24"/>
        </w:rPr>
        <w:t>Los costos y gastos derivados del incumplimiento de la Normatividad Aplicable y de las Mejores Prácticas de la Industria, incluyendo las de administración de riesgos;</w:t>
      </w:r>
    </w:p>
    <w:p w:rsidR="00741B2D" w:rsidRPr="005716C5" w:rsidRDefault="00741B2D" w:rsidP="00741B2D">
      <w:pPr>
        <w:pStyle w:val="Texto"/>
        <w:spacing w:after="96"/>
        <w:ind w:left="1440" w:hanging="720"/>
        <w:rPr>
          <w:szCs w:val="24"/>
        </w:rPr>
      </w:pPr>
      <w:r w:rsidRPr="005716C5">
        <w:rPr>
          <w:b/>
          <w:szCs w:val="24"/>
        </w:rPr>
        <w:t>X.</w:t>
      </w:r>
      <w:r w:rsidRPr="005716C5">
        <w:rPr>
          <w:b/>
          <w:szCs w:val="24"/>
        </w:rPr>
        <w:tab/>
      </w:r>
      <w:r w:rsidRPr="005716C5">
        <w:rPr>
          <w:szCs w:val="24"/>
        </w:rPr>
        <w:t>Los Costos relacionados con la capacitación y programas de entrenamiento que no sean indispensables para la operación eficiente del proyecto y no se establezcan de manera general;</w:t>
      </w:r>
    </w:p>
    <w:p w:rsidR="00741B2D" w:rsidRPr="00C32CE0" w:rsidRDefault="00741B2D" w:rsidP="00741B2D">
      <w:pPr>
        <w:pStyle w:val="Texto"/>
        <w:spacing w:after="96"/>
        <w:ind w:left="1440" w:hanging="720"/>
        <w:rPr>
          <w:b/>
          <w:szCs w:val="24"/>
        </w:rPr>
      </w:pPr>
      <w:r w:rsidRPr="005716C5">
        <w:rPr>
          <w:b/>
          <w:szCs w:val="24"/>
        </w:rPr>
        <w:t>XI. a XIII.</w:t>
      </w:r>
      <w:r w:rsidRPr="005716C5">
        <w:rPr>
          <w:szCs w:val="24"/>
        </w:rPr>
        <w:t xml:space="preserve"> </w:t>
      </w:r>
      <w:r w:rsidRPr="00C32CE0">
        <w:rPr>
          <w:b/>
          <w:szCs w:val="24"/>
        </w:rPr>
        <w:t>…</w:t>
      </w:r>
    </w:p>
    <w:p w:rsidR="00741B2D" w:rsidRPr="005716C5" w:rsidRDefault="00741B2D" w:rsidP="00741B2D">
      <w:pPr>
        <w:pStyle w:val="Texto"/>
        <w:spacing w:after="96"/>
        <w:ind w:left="1440" w:hanging="720"/>
        <w:rPr>
          <w:szCs w:val="24"/>
        </w:rPr>
      </w:pPr>
      <w:r w:rsidRPr="005716C5">
        <w:rPr>
          <w:b/>
          <w:szCs w:val="24"/>
        </w:rPr>
        <w:t>XIV.</w:t>
      </w:r>
      <w:r w:rsidRPr="005716C5">
        <w:rPr>
          <w:b/>
          <w:szCs w:val="24"/>
        </w:rPr>
        <w:tab/>
      </w:r>
      <w:r w:rsidRPr="005716C5">
        <w:rPr>
          <w:szCs w:val="24"/>
        </w:rPr>
        <w:t>Los montos registrados como provisiones y reservas de fondos, excepto aquéllos para el abandono de las instalaciones conforme al Plan de Exploración, Plan de Desarrollo para la Extracción y la Norma de Información Financiera C-18;</w:t>
      </w:r>
    </w:p>
    <w:p w:rsidR="00741B2D" w:rsidRPr="005716C5" w:rsidRDefault="00741B2D" w:rsidP="00741B2D">
      <w:pPr>
        <w:pStyle w:val="Texto"/>
        <w:spacing w:after="96"/>
        <w:ind w:left="1440" w:hanging="720"/>
        <w:rPr>
          <w:szCs w:val="24"/>
        </w:rPr>
      </w:pPr>
      <w:r w:rsidRPr="005716C5">
        <w:rPr>
          <w:b/>
          <w:szCs w:val="24"/>
        </w:rPr>
        <w:t>XV.</w:t>
      </w:r>
      <w:r w:rsidRPr="005716C5">
        <w:rPr>
          <w:b/>
          <w:szCs w:val="24"/>
        </w:rPr>
        <w:tab/>
      </w:r>
      <w:r w:rsidRPr="005716C5">
        <w:rPr>
          <w:szCs w:val="24"/>
        </w:rPr>
        <w:t>Los Costos asociados a las actividades de Abandono conforme al Plan de Exploración y al Plan de Desarrollo que sean fondeados a través de la reserva constituida en el Fideicomiso de Abandono;</w:t>
      </w:r>
    </w:p>
    <w:p w:rsidR="00741B2D" w:rsidRPr="005716C5" w:rsidRDefault="00741B2D" w:rsidP="00741B2D">
      <w:pPr>
        <w:pStyle w:val="Texto"/>
        <w:spacing w:after="96"/>
        <w:ind w:left="1440" w:hanging="720"/>
        <w:rPr>
          <w:szCs w:val="24"/>
        </w:rPr>
      </w:pPr>
      <w:r w:rsidRPr="005716C5">
        <w:rPr>
          <w:b/>
          <w:szCs w:val="24"/>
        </w:rPr>
        <w:t>XVI.</w:t>
      </w:r>
      <w:r w:rsidRPr="005716C5">
        <w:rPr>
          <w:b/>
          <w:szCs w:val="24"/>
        </w:rPr>
        <w:tab/>
      </w:r>
      <w:r w:rsidRPr="005716C5">
        <w:rPr>
          <w:szCs w:val="24"/>
        </w:rPr>
        <w:t>Los costos y gastos legales por cualquier arbitraje, conciliación o disputa que involucre al Contratista o al Asignatario, sus contratistas o sub-contratistas;</w:t>
      </w:r>
    </w:p>
    <w:p w:rsidR="00741B2D" w:rsidRPr="005716C5" w:rsidRDefault="00741B2D" w:rsidP="00741B2D">
      <w:pPr>
        <w:pStyle w:val="Texto"/>
        <w:spacing w:after="96"/>
        <w:ind w:left="1440" w:hanging="720"/>
        <w:rPr>
          <w:szCs w:val="24"/>
        </w:rPr>
      </w:pPr>
      <w:r w:rsidRPr="005716C5">
        <w:rPr>
          <w:b/>
          <w:szCs w:val="24"/>
        </w:rPr>
        <w:t>XVII.</w:t>
      </w:r>
      <w:r w:rsidRPr="005716C5">
        <w:rPr>
          <w:b/>
          <w:szCs w:val="24"/>
        </w:rPr>
        <w:tab/>
      </w:r>
      <w:r w:rsidRPr="005716C5">
        <w:rPr>
          <w:szCs w:val="24"/>
        </w:rPr>
        <w:t>Las comisiones pagadas a corredores, agentes o comisionistas;</w:t>
      </w:r>
    </w:p>
    <w:p w:rsidR="00741B2D" w:rsidRPr="005716C5" w:rsidRDefault="00741B2D" w:rsidP="00741B2D">
      <w:pPr>
        <w:pStyle w:val="Texto"/>
        <w:spacing w:after="96"/>
        <w:ind w:left="1440" w:hanging="720"/>
        <w:rPr>
          <w:szCs w:val="24"/>
        </w:rPr>
      </w:pPr>
      <w:r w:rsidRPr="005716C5">
        <w:rPr>
          <w:b/>
          <w:szCs w:val="24"/>
        </w:rPr>
        <w:t>XVIII.</w:t>
      </w:r>
      <w:r w:rsidRPr="005716C5">
        <w:rPr>
          <w:b/>
          <w:szCs w:val="24"/>
        </w:rPr>
        <w:tab/>
      </w:r>
      <w:r w:rsidRPr="005716C5">
        <w:rPr>
          <w:szCs w:val="24"/>
        </w:rPr>
        <w:t>Los pagos por concepto de Cuotas Contractuales para la Fase Exploratoria correspondientes al Contrato;</w:t>
      </w:r>
    </w:p>
    <w:p w:rsidR="00741B2D" w:rsidRPr="005716C5" w:rsidRDefault="00741B2D" w:rsidP="00741B2D">
      <w:pPr>
        <w:pStyle w:val="Texto"/>
        <w:spacing w:after="96"/>
        <w:ind w:left="1440" w:hanging="720"/>
        <w:rPr>
          <w:szCs w:val="24"/>
        </w:rPr>
      </w:pPr>
      <w:r w:rsidRPr="005716C5">
        <w:rPr>
          <w:b/>
          <w:szCs w:val="24"/>
        </w:rPr>
        <w:t>XIX.</w:t>
      </w:r>
      <w:r w:rsidRPr="005716C5">
        <w:rPr>
          <w:szCs w:val="24"/>
        </w:rPr>
        <w:tab/>
        <w:t>Las Contraprestaciones a favor del Estado, así como cualquier otra Contraprestación, Costo o erogación correspondiente a otro Contrato.</w:t>
      </w:r>
    </w:p>
    <w:p w:rsidR="00741B2D" w:rsidRPr="005716C5" w:rsidRDefault="00741B2D" w:rsidP="00741B2D">
      <w:pPr>
        <w:pStyle w:val="Texto"/>
        <w:spacing w:after="96"/>
        <w:ind w:left="1440" w:hanging="720"/>
        <w:rPr>
          <w:szCs w:val="24"/>
        </w:rPr>
      </w:pPr>
      <w:r w:rsidRPr="005716C5">
        <w:rPr>
          <w:b/>
          <w:szCs w:val="24"/>
        </w:rPr>
        <w:t>XX.</w:t>
      </w:r>
      <w:r w:rsidRPr="005716C5">
        <w:rPr>
          <w:szCs w:val="24"/>
        </w:rPr>
        <w:tab/>
        <w:t>Los Costos por encima de referencias o Precios de Mercado de acuerdo a lo señalado en los numerales 20, 21 y 33 de los presentes Lineamientos;</w:t>
      </w:r>
    </w:p>
    <w:p w:rsidR="00741B2D" w:rsidRPr="005716C5" w:rsidRDefault="00741B2D" w:rsidP="00741B2D">
      <w:pPr>
        <w:pStyle w:val="Texto"/>
        <w:spacing w:after="96"/>
        <w:ind w:left="1440" w:hanging="720"/>
        <w:rPr>
          <w:szCs w:val="24"/>
        </w:rPr>
      </w:pPr>
      <w:r w:rsidRPr="005716C5">
        <w:rPr>
          <w:b/>
          <w:szCs w:val="24"/>
        </w:rPr>
        <w:t>XXI.</w:t>
      </w:r>
      <w:r w:rsidRPr="005716C5">
        <w:rPr>
          <w:b/>
          <w:szCs w:val="24"/>
        </w:rPr>
        <w:tab/>
      </w:r>
      <w:r w:rsidRPr="005716C5">
        <w:rPr>
          <w:szCs w:val="24"/>
        </w:rPr>
        <w:t>Aquellos que no sean estrictamente indispensables para la actividad objeto del Contrato o las actividades distintas a aquellas por las que el Asignatario está obligado al pago de los derechos contemplados en la Ley;</w:t>
      </w:r>
    </w:p>
    <w:p w:rsidR="00741B2D" w:rsidRPr="005716C5" w:rsidRDefault="00741B2D" w:rsidP="00741B2D">
      <w:pPr>
        <w:pStyle w:val="Texto"/>
        <w:spacing w:after="96"/>
        <w:ind w:left="1440" w:hanging="720"/>
        <w:rPr>
          <w:szCs w:val="24"/>
        </w:rPr>
      </w:pPr>
      <w:r w:rsidRPr="005716C5">
        <w:rPr>
          <w:b/>
          <w:szCs w:val="24"/>
        </w:rPr>
        <w:t>XXII.</w:t>
      </w:r>
      <w:r w:rsidRPr="005716C5">
        <w:rPr>
          <w:b/>
          <w:szCs w:val="24"/>
        </w:rPr>
        <w:tab/>
      </w:r>
      <w:r w:rsidRPr="005716C5">
        <w:rPr>
          <w:szCs w:val="24"/>
        </w:rPr>
        <w:t>Los pagos para los concesionarios mineros derivados de la afectación a su actividad minera;</w:t>
      </w:r>
    </w:p>
    <w:p w:rsidR="00741B2D" w:rsidRPr="005716C5" w:rsidRDefault="00741B2D" w:rsidP="00741B2D">
      <w:pPr>
        <w:pStyle w:val="Texto"/>
        <w:spacing w:after="96"/>
        <w:ind w:left="1440" w:hanging="720"/>
        <w:rPr>
          <w:szCs w:val="24"/>
        </w:rPr>
      </w:pPr>
      <w:r w:rsidRPr="005716C5">
        <w:rPr>
          <w:b/>
          <w:szCs w:val="24"/>
        </w:rPr>
        <w:t>XXIII.</w:t>
      </w:r>
      <w:r w:rsidRPr="005716C5">
        <w:rPr>
          <w:b/>
          <w:szCs w:val="24"/>
        </w:rPr>
        <w:tab/>
      </w:r>
      <w:r w:rsidRPr="005716C5">
        <w:rPr>
          <w:szCs w:val="24"/>
        </w:rPr>
        <w:t>Los costos relacionados con la comercialización o transporte de Petróleo, Gas Natural y Condensados, más allá de los Puntos de Medición y/o entrega;</w:t>
      </w:r>
    </w:p>
    <w:p w:rsidR="00741B2D" w:rsidRPr="005716C5" w:rsidRDefault="00741B2D" w:rsidP="00741B2D">
      <w:pPr>
        <w:pStyle w:val="Texto"/>
        <w:spacing w:after="96"/>
        <w:ind w:left="1440" w:hanging="720"/>
        <w:rPr>
          <w:szCs w:val="24"/>
        </w:rPr>
      </w:pPr>
      <w:r w:rsidRPr="005716C5">
        <w:rPr>
          <w:b/>
          <w:szCs w:val="24"/>
        </w:rPr>
        <w:lastRenderedPageBreak/>
        <w:t>XXIV.</w:t>
      </w:r>
      <w:r w:rsidRPr="005716C5">
        <w:rPr>
          <w:b/>
          <w:szCs w:val="24"/>
        </w:rPr>
        <w:tab/>
      </w:r>
      <w:r w:rsidRPr="005716C5">
        <w:rPr>
          <w:szCs w:val="24"/>
        </w:rPr>
        <w:t>Las multas o sanciones económicas en que se incurra por el incumplimiento de obligaciones legales o contractuales;</w:t>
      </w:r>
    </w:p>
    <w:p w:rsidR="00741B2D" w:rsidRPr="005716C5" w:rsidRDefault="00741B2D" w:rsidP="00741B2D">
      <w:pPr>
        <w:pStyle w:val="Texto"/>
        <w:spacing w:after="96"/>
        <w:ind w:left="1440" w:hanging="720"/>
        <w:rPr>
          <w:szCs w:val="24"/>
        </w:rPr>
      </w:pPr>
      <w:r w:rsidRPr="005716C5">
        <w:rPr>
          <w:b/>
          <w:szCs w:val="24"/>
        </w:rPr>
        <w:t>XXV.</w:t>
      </w:r>
      <w:r w:rsidRPr="005716C5">
        <w:rPr>
          <w:b/>
          <w:szCs w:val="24"/>
        </w:rPr>
        <w:tab/>
      </w:r>
      <w:r w:rsidRPr="005716C5">
        <w:rPr>
          <w:szCs w:val="24"/>
        </w:rPr>
        <w:t>Los costos y gastos relacionados con el empleo de un experto independiente con el propósito de resolver disputas legales;</w:t>
      </w:r>
    </w:p>
    <w:p w:rsidR="00741B2D" w:rsidRPr="005716C5" w:rsidRDefault="00741B2D" w:rsidP="00741B2D">
      <w:pPr>
        <w:pStyle w:val="Texto"/>
        <w:spacing w:after="96"/>
        <w:ind w:left="1440" w:hanging="720"/>
        <w:rPr>
          <w:szCs w:val="24"/>
        </w:rPr>
      </w:pPr>
      <w:r w:rsidRPr="005716C5">
        <w:rPr>
          <w:b/>
          <w:szCs w:val="24"/>
        </w:rPr>
        <w:t>XXVI.</w:t>
      </w:r>
      <w:r w:rsidRPr="005716C5">
        <w:rPr>
          <w:b/>
          <w:szCs w:val="24"/>
        </w:rPr>
        <w:tab/>
      </w:r>
      <w:r w:rsidRPr="005716C5">
        <w:rPr>
          <w:szCs w:val="24"/>
        </w:rPr>
        <w:t>Cualquier retención asociada a los impuestos correspondientes a los trabajadores del Asignatario o Contratista, así como el pago de la participación de los trabajadores en las utilidades de las empresas;</w:t>
      </w:r>
    </w:p>
    <w:p w:rsidR="00741B2D" w:rsidRPr="005716C5" w:rsidRDefault="00741B2D" w:rsidP="00741B2D">
      <w:pPr>
        <w:pStyle w:val="Texto"/>
        <w:spacing w:after="96"/>
        <w:ind w:left="1440" w:hanging="720"/>
        <w:rPr>
          <w:szCs w:val="24"/>
        </w:rPr>
      </w:pPr>
      <w:r w:rsidRPr="005716C5">
        <w:rPr>
          <w:b/>
          <w:szCs w:val="24"/>
        </w:rPr>
        <w:t>XXVII.</w:t>
      </w:r>
      <w:r w:rsidRPr="005716C5">
        <w:rPr>
          <w:b/>
          <w:szCs w:val="24"/>
        </w:rPr>
        <w:tab/>
      </w:r>
      <w:r w:rsidRPr="005716C5">
        <w:rPr>
          <w:szCs w:val="24"/>
        </w:rPr>
        <w:t>Las disminuciones en el valor de los bienes no usados en la industria petrolera;</w:t>
      </w:r>
    </w:p>
    <w:p w:rsidR="00741B2D" w:rsidRPr="005716C5" w:rsidRDefault="00741B2D" w:rsidP="00741B2D">
      <w:pPr>
        <w:pStyle w:val="Texto"/>
        <w:spacing w:after="96"/>
        <w:ind w:left="1440" w:hanging="720"/>
        <w:rPr>
          <w:szCs w:val="24"/>
        </w:rPr>
      </w:pPr>
      <w:r w:rsidRPr="005716C5">
        <w:rPr>
          <w:b/>
          <w:szCs w:val="24"/>
        </w:rPr>
        <w:t>XXVIII.</w:t>
      </w:r>
      <w:r w:rsidRPr="005716C5">
        <w:rPr>
          <w:b/>
          <w:szCs w:val="24"/>
        </w:rPr>
        <w:tab/>
      </w:r>
      <w:r w:rsidRPr="005716C5">
        <w:rPr>
          <w:szCs w:val="24"/>
        </w:rPr>
        <w:t>Cualquier costo y gasto relacionado con relaciones públicas y/o costos y gastos de representación del Contratista o Asignatario y sus Partes Relacionadas, incluyendo cabildeo, promoción o publicidad;</w:t>
      </w:r>
    </w:p>
    <w:p w:rsidR="00741B2D" w:rsidRPr="005716C5" w:rsidRDefault="00741B2D" w:rsidP="00741B2D">
      <w:pPr>
        <w:pStyle w:val="Texto"/>
        <w:spacing w:after="96"/>
        <w:ind w:left="1440" w:hanging="720"/>
        <w:rPr>
          <w:szCs w:val="24"/>
        </w:rPr>
      </w:pPr>
      <w:r w:rsidRPr="005716C5">
        <w:rPr>
          <w:b/>
          <w:szCs w:val="24"/>
        </w:rPr>
        <w:t>XXIX.</w:t>
      </w:r>
      <w:r w:rsidRPr="005716C5">
        <w:rPr>
          <w:b/>
          <w:szCs w:val="24"/>
        </w:rPr>
        <w:tab/>
      </w:r>
      <w:r w:rsidRPr="005716C5">
        <w:rPr>
          <w:szCs w:val="24"/>
        </w:rPr>
        <w:t>Cualquier costo y gasto de actividades realizadas derivadas de situaciones de emergencia que requieran de acción inmediata y que no hubieren sido autorizadas posteriormente por la CNH o la Agencia;</w:t>
      </w:r>
    </w:p>
    <w:p w:rsidR="00741B2D" w:rsidRPr="005716C5" w:rsidRDefault="00741B2D" w:rsidP="00741B2D">
      <w:pPr>
        <w:pStyle w:val="Texto"/>
        <w:spacing w:after="96"/>
        <w:ind w:left="1440" w:hanging="720"/>
        <w:rPr>
          <w:szCs w:val="24"/>
        </w:rPr>
      </w:pPr>
      <w:r w:rsidRPr="005716C5">
        <w:rPr>
          <w:b/>
          <w:szCs w:val="24"/>
        </w:rPr>
        <w:t>XXX.</w:t>
      </w:r>
      <w:r w:rsidRPr="005716C5">
        <w:rPr>
          <w:b/>
          <w:szCs w:val="24"/>
        </w:rPr>
        <w:tab/>
      </w:r>
      <w:r w:rsidRPr="005716C5">
        <w:rPr>
          <w:szCs w:val="24"/>
        </w:rPr>
        <w:t>Los pagos por concepto de primas de seguros que no sean autorizados por la Agencia.</w:t>
      </w:r>
    </w:p>
    <w:p w:rsidR="00741B2D" w:rsidRPr="005716C5" w:rsidRDefault="00741B2D" w:rsidP="00741B2D">
      <w:pPr>
        <w:pStyle w:val="ROMANOS"/>
        <w:spacing w:line="220" w:lineRule="exact"/>
      </w:pPr>
      <w:r w:rsidRPr="005716C5">
        <w:rPr>
          <w:b/>
        </w:rPr>
        <w:t>17.</w:t>
      </w:r>
      <w:r w:rsidRPr="005716C5">
        <w:rPr>
          <w:b/>
        </w:rPr>
        <w:tab/>
        <w:t xml:space="preserve">Cuenta de abandono. </w:t>
      </w:r>
      <w:r w:rsidRPr="005716C5">
        <w:t xml:space="preserve">Una vez aprobado el Plan de Exploración y/o Plan de Desarrollo por la CNH, el Contratista o el Asignatario deberán crear la reserva de abandono, conforme a la Norma de Información Financiera C-18, en la cual registrarán las provisiones y reservas de abandono conforme a las reglas que para tal efecto emitan la CNH y la Agencia. Para tal efecto, el Contratista deberá constituir el fideicomiso de abandono de conformidad al Contrato respectivo y el Asignatario </w:t>
      </w:r>
      <w:r>
        <w:t xml:space="preserve"> </w:t>
      </w:r>
      <w:r w:rsidRPr="005716C5">
        <w:t>deberá crear dicha reserva.</w:t>
      </w:r>
    </w:p>
    <w:p w:rsidR="00741B2D" w:rsidRPr="005716C5" w:rsidRDefault="00741B2D" w:rsidP="00741B2D">
      <w:pPr>
        <w:pStyle w:val="ROMANOS"/>
        <w:spacing w:line="220" w:lineRule="exact"/>
      </w:pPr>
      <w:r w:rsidRPr="005716C5">
        <w:rPr>
          <w:b/>
        </w:rPr>
        <w:t>18.</w:t>
      </w:r>
      <w:r w:rsidRPr="005716C5">
        <w:rPr>
          <w:b/>
        </w:rPr>
        <w:tab/>
        <w:t>Fideicomiso</w:t>
      </w:r>
      <w:r w:rsidRPr="005716C5">
        <w:t xml:space="preserve"> </w:t>
      </w:r>
      <w:r w:rsidRPr="005716C5">
        <w:rPr>
          <w:b/>
        </w:rPr>
        <w:t>de abandono.</w:t>
      </w:r>
      <w:r w:rsidRPr="005716C5">
        <w:t xml:space="preserve"> El Contratista establecerá como objeto del fideicomiso de abandono la creación de una reserva para el fondeo de las operaciones de abandono en el Área Contractual. El Contratista solamente podrá hacer uso de los fondos depositados en dicho fideicomiso</w:t>
      </w:r>
      <w:r w:rsidRPr="005716C5">
        <w:rPr>
          <w:lang w:val="es-ES_tradnl"/>
        </w:rPr>
        <w:t xml:space="preserve"> para la ejecución de las actividades correspondientes al abandono de conformidad con los Planes de Desarrollo aprobados por la CNH</w:t>
      </w:r>
      <w:r w:rsidRPr="005716C5">
        <w:t>. Cada Periodo, el Contratista aportará a dicho fideicomiso los recursos para el fondeo en las operaciones de abandono en el Área Contractual conforme se establezca en el Contrato respectivo y no tendrá derecho a dar en garantía, ceder o disponer de cualquier otra forma de estos fondos, sin previo consentimiento por escrito de la CNH y previo aviso a la Secretaría de Hacienda.</w:t>
      </w:r>
    </w:p>
    <w:p w:rsidR="00741B2D" w:rsidRPr="005716C5" w:rsidRDefault="00741B2D" w:rsidP="00741B2D">
      <w:pPr>
        <w:pStyle w:val="ROMANOS"/>
        <w:spacing w:line="220" w:lineRule="exact"/>
      </w:pPr>
      <w:r>
        <w:tab/>
      </w:r>
      <w:r w:rsidRPr="005716C5">
        <w:t>En caso de que los fondos de la cuenta de abandono sean insuficientes para cubrir todos los Costos de abandono, el Contratista será responsable de cubrir el monto faltante, en cuyo caso, dichos Costos deberán estar explícitamente señalados en el Presupuesto correspondiente para ser considerados como Costos Recuperables, en el contrato del fideicomiso de abandono se deberá establecer que en caso de existir un remanente en el fondo una vez que se hayan cubierto los Costos de abandono, los recursos se deberán enterar al FMP.</w:t>
      </w:r>
    </w:p>
    <w:p w:rsidR="00741B2D" w:rsidRPr="005716C5" w:rsidRDefault="00741B2D" w:rsidP="00741B2D">
      <w:pPr>
        <w:pStyle w:val="ROMANOS"/>
        <w:spacing w:line="220" w:lineRule="exact"/>
      </w:pPr>
      <w:r w:rsidRPr="005716C5">
        <w:rPr>
          <w:b/>
        </w:rPr>
        <w:t>20.</w:t>
      </w:r>
      <w:r w:rsidRPr="005716C5">
        <w:rPr>
          <w:b/>
        </w:rPr>
        <w:tab/>
      </w:r>
      <w:r w:rsidRPr="005716C5">
        <w:t>Se considerará que los Contratistas o Asignatarios realizan operaciones con Partes Relacionadas residentes en el extranjero o en el país, cuando se encuentren en los supuestos establecidos en los artículos 90, último párrafo, y 179, quinto párrafo, de la Ley del Impuesto sobre la Renta. Para estos efectos, en las operaciones que realicen estarán obligados a determinar sus ingresos y Costos celebrados entre Partes Relacionadas, considerando los precios y montos de las contraprestaciones que se hubieren utilizado con o entre partes independientes en operaciones comparables en los términos, métodos y condiciones establecidos en la citada ley.</w:t>
      </w:r>
    </w:p>
    <w:p w:rsidR="00741B2D" w:rsidRPr="005716C5" w:rsidRDefault="00741B2D" w:rsidP="00741B2D">
      <w:pPr>
        <w:pStyle w:val="ROMANOS"/>
        <w:spacing w:line="220" w:lineRule="exact"/>
      </w:pPr>
      <w:r w:rsidRPr="005716C5">
        <w:rPr>
          <w:b/>
        </w:rPr>
        <w:t>21.</w:t>
      </w:r>
      <w:r w:rsidRPr="005716C5">
        <w:rPr>
          <w:b/>
        </w:rPr>
        <w:tab/>
        <w:t>Precios de Transferencia.</w:t>
      </w:r>
      <w:r w:rsidRPr="005716C5">
        <w:t xml:space="preserve"> El Contratista o Asignatario que celebre operaciones con Partes Relacionadas deberá demostrar que éstas se pactaron a Precios de Mercado. Para demostrar que la transacción fue pactada a Precios de Mercado el Contratista o Asignatario deberá hacer uso de los métodos establecidos en los presentes Lineamientos y descritos en las Guías sobre Precios de Transferencia para Empresas Multinacionales y las Administraciones Fiscales, aprobadas por el Consejo de la Organización para la Cooperación y el Desarrollo Económico en 1995 o aquéllas que las sustituyan, para demostrar que la transacción fue pactada a Precios de Mercado.</w:t>
      </w:r>
    </w:p>
    <w:p w:rsidR="00741B2D" w:rsidRPr="005716C5" w:rsidRDefault="00741B2D" w:rsidP="00741B2D">
      <w:pPr>
        <w:pStyle w:val="ROMANOS"/>
        <w:spacing w:line="220" w:lineRule="exact"/>
      </w:pPr>
      <w:r>
        <w:tab/>
      </w:r>
      <w:r w:rsidRPr="005716C5">
        <w:t>Para operaciones menores a $20</w:t>
      </w:r>
      <w:proofErr w:type="gramStart"/>
      <w:r w:rsidRPr="005716C5">
        <w:t>,000,000</w:t>
      </w:r>
      <w:proofErr w:type="gramEnd"/>
      <w:r w:rsidRPr="005716C5">
        <w:t xml:space="preserve"> USD (veinte millones de Dólares) o su equivalente en moneda nacional, el Contratista o Asignatario deberá conservar dicha información, documentación y/o evidencia de conformidad con los presentes Lineamientos.</w:t>
      </w:r>
    </w:p>
    <w:p w:rsidR="00741B2D" w:rsidRPr="005716C5" w:rsidRDefault="00741B2D" w:rsidP="00741B2D">
      <w:pPr>
        <w:pStyle w:val="ROMANOS"/>
        <w:spacing w:line="220" w:lineRule="exact"/>
      </w:pPr>
      <w:r>
        <w:lastRenderedPageBreak/>
        <w:tab/>
      </w:r>
      <w:r w:rsidRPr="005716C5">
        <w:t>Para operaciones mayores a $20</w:t>
      </w:r>
      <w:proofErr w:type="gramStart"/>
      <w:r w:rsidRPr="005716C5">
        <w:t>,000,000</w:t>
      </w:r>
      <w:proofErr w:type="gramEnd"/>
      <w:r w:rsidRPr="005716C5">
        <w:t xml:space="preserve"> USD (veinte millones de Dólares) o su equivalente en moneda nacional, el Contratista o Asignatario deberá conservar y entregar dicha información, documentación y/o evidencia conforme a los presentes Lineamientos, a través del sistema informático que para tal efecto establezca el FMP, así como toda la información necesaria para su entrega a la Secretaría de Hacienda, en caso de requerirlo, para replicar el o los análisis realizados.</w:t>
      </w:r>
    </w:p>
    <w:p w:rsidR="00741B2D" w:rsidRPr="005716C5" w:rsidRDefault="00741B2D" w:rsidP="00741B2D">
      <w:pPr>
        <w:pStyle w:val="ROMANOS"/>
        <w:spacing w:line="220" w:lineRule="exact"/>
      </w:pPr>
      <w:r w:rsidRPr="005716C5">
        <w:rPr>
          <w:b/>
        </w:rPr>
        <w:t>22.</w:t>
      </w:r>
      <w:r w:rsidRPr="005716C5">
        <w:rPr>
          <w:b/>
        </w:rPr>
        <w:tab/>
      </w:r>
      <w:r w:rsidRPr="005716C5">
        <w:t>Cuando el Contratista pretenda enajenar bienes cuyo Costo hubiera sido recuperado, parcial o totalmente, deberá contar con el dictamen técnico de la CNH, por el cual justifique que el bien a enajenar ya no es indispensable para el fin del Contrato.</w:t>
      </w:r>
    </w:p>
    <w:p w:rsidR="00741B2D" w:rsidRPr="005716C5" w:rsidRDefault="00741B2D" w:rsidP="00741B2D">
      <w:pPr>
        <w:pStyle w:val="ROMANOS"/>
        <w:spacing w:line="220" w:lineRule="exact"/>
      </w:pPr>
      <w:r w:rsidRPr="005716C5">
        <w:rPr>
          <w:b/>
        </w:rPr>
        <w:t>23.</w:t>
      </w:r>
      <w:r w:rsidRPr="005716C5">
        <w:rPr>
          <w:b/>
        </w:rPr>
        <w:tab/>
      </w:r>
      <w:r w:rsidRPr="005716C5">
        <w:t>Para determinar el valor del bien enajenado, se considerará el valor en libros remanente o valor de desecho del bien, siempre que no sea inferior al Precio de Mercado conforme a lo dispuesto en los numerales 20 y 21 de los presentes Lineamientos.</w:t>
      </w:r>
    </w:p>
    <w:p w:rsidR="00741B2D" w:rsidRPr="005716C5" w:rsidRDefault="00741B2D" w:rsidP="00741B2D">
      <w:pPr>
        <w:pStyle w:val="ROMANOS"/>
        <w:spacing w:line="220" w:lineRule="exact"/>
      </w:pPr>
      <w:r>
        <w:tab/>
      </w:r>
      <w:r w:rsidRPr="005716C5">
        <w:t xml:space="preserve">Como resultado de las labores de verificación por parte de la Secretaría de Hacienda, y en caso de no demostrarse que la venta se realizó a Precios de Mercado, la diferencia que se identifique entre la mediana del rango de Precios de Mercado y el precio pactado en la venta, conforme al procedimiento del método </w:t>
      </w:r>
      <w:proofErr w:type="spellStart"/>
      <w:r w:rsidRPr="005716C5">
        <w:t>intercuartil</w:t>
      </w:r>
      <w:proofErr w:type="spellEnd"/>
      <w:r w:rsidRPr="005716C5">
        <w:t xml:space="preserve"> conforme a la Normatividad Aplicable, deberá entregarse al FMP o ser descontado de las Contraprestaciones que le correspondan al Contratista.</w:t>
      </w:r>
    </w:p>
    <w:p w:rsidR="00741B2D" w:rsidRPr="005716C5" w:rsidRDefault="00741B2D" w:rsidP="00741B2D">
      <w:pPr>
        <w:pStyle w:val="ROMANOS"/>
        <w:spacing w:line="220" w:lineRule="exact"/>
      </w:pPr>
      <w:r>
        <w:tab/>
      </w:r>
      <w:r w:rsidRPr="005716C5">
        <w:t>Tratándose de la restitución de bienes siniestrados parcial o totalmente en Contratos, la indemnización del seguro correspondiente se disminuirá de los Costos Recuperables.</w:t>
      </w:r>
    </w:p>
    <w:p w:rsidR="00741B2D" w:rsidRPr="005716C5" w:rsidRDefault="00741B2D" w:rsidP="00741B2D">
      <w:pPr>
        <w:pStyle w:val="ROMANOS"/>
        <w:spacing w:line="233" w:lineRule="exact"/>
        <w:rPr>
          <w:b/>
        </w:rPr>
      </w:pPr>
      <w:r w:rsidRPr="005716C5">
        <w:rPr>
          <w:b/>
        </w:rPr>
        <w:t>24.</w:t>
      </w:r>
      <w:r w:rsidRPr="005716C5">
        <w:rPr>
          <w:b/>
        </w:rPr>
        <w:tab/>
        <w:t>Monto entregado al FMP.</w:t>
      </w:r>
      <w:r w:rsidRPr="005716C5">
        <w:t xml:space="preserve"> Cuando el Costo del bien enajenado haya sido recuperado en su totalidad, se deberá cumplir con el numeral 22 de estos Lineamientos y el monto derivado de la venta deberá ser entregado al FMP a más tardar diez días hábiles después de liquidada la venta o, previa autorización de la Secretaría de Hacienda, será descontado un monto equivalente de las Contraprestaciones que le correspondan al Contratista, conforme a lo dispuesto en el numeral 26</w:t>
      </w:r>
      <w:r w:rsidRPr="005716C5">
        <w:rPr>
          <w:b/>
        </w:rPr>
        <w:t xml:space="preserve"> </w:t>
      </w:r>
      <w:r w:rsidRPr="005716C5">
        <w:t>de los presentes Lineamientos</w:t>
      </w:r>
      <w:r w:rsidRPr="005716C5">
        <w:rPr>
          <w:b/>
        </w:rPr>
        <w:t>.</w:t>
      </w:r>
    </w:p>
    <w:p w:rsidR="00741B2D" w:rsidRPr="005716C5" w:rsidRDefault="00741B2D" w:rsidP="00741B2D">
      <w:pPr>
        <w:pStyle w:val="ROMANOS"/>
        <w:spacing w:line="233" w:lineRule="exact"/>
      </w:pPr>
      <w:r w:rsidRPr="005716C5">
        <w:rPr>
          <w:b/>
        </w:rPr>
        <w:t>25.</w:t>
      </w:r>
      <w:r w:rsidRPr="005716C5">
        <w:rPr>
          <w:b/>
        </w:rPr>
        <w:tab/>
        <w:t>Activos enajenados recuperados parcialmente.</w:t>
      </w:r>
      <w:r w:rsidRPr="005716C5">
        <w:t xml:space="preserve"> En caso de que el Costo del bien enajenado se hubiera recuperado parcialmente, el monto generado por dicha operación se distribuirá de acuerdo al porcentaje efectivamente recuperado al momento de la venta, entre el Estado y el Contratista, según lo establecido en cada Contrato.</w:t>
      </w:r>
    </w:p>
    <w:p w:rsidR="00741B2D" w:rsidRPr="005716C5" w:rsidRDefault="00741B2D" w:rsidP="00741B2D">
      <w:pPr>
        <w:pStyle w:val="ROMANOS"/>
        <w:spacing w:line="233" w:lineRule="exact"/>
      </w:pPr>
      <w:r w:rsidRPr="005716C5">
        <w:rPr>
          <w:b/>
        </w:rPr>
        <w:t>26.</w:t>
      </w:r>
      <w:r w:rsidRPr="005716C5">
        <w:rPr>
          <w:b/>
        </w:rPr>
        <w:tab/>
        <w:t xml:space="preserve">Solicitud para descontar el activo enajenado en las Contraprestaciones. </w:t>
      </w:r>
      <w:r w:rsidRPr="005716C5">
        <w:t>El Contratista podrá solicitar la autorización de la Secretaría de Hacienda para descontar de las Contraprestaciones que le correspondan, un monto equivalente al valor de la enajenación determinado conforme a los numerales 23 y 25 de los presentes Lineamientos, anexando el dictamen técnico proporcionado por la CNH, así como el registro y soporte contable referente al activo enajenado. La Secretaría de Hacienda tendrá un plazo de cinco días hábiles para otorgar la referida autorización, informando al Contratista y al FMP de la autorización o negativa.</w:t>
      </w:r>
    </w:p>
    <w:p w:rsidR="00741B2D" w:rsidRPr="005716C5" w:rsidRDefault="00741B2D" w:rsidP="00741B2D">
      <w:pPr>
        <w:pStyle w:val="ROMANOS"/>
        <w:spacing w:line="233" w:lineRule="exact"/>
      </w:pPr>
      <w:r>
        <w:tab/>
      </w:r>
      <w:r w:rsidRPr="005716C5">
        <w:t>Se deroga.</w:t>
      </w:r>
    </w:p>
    <w:p w:rsidR="00741B2D" w:rsidRPr="005716C5" w:rsidRDefault="00741B2D" w:rsidP="00741B2D">
      <w:pPr>
        <w:pStyle w:val="ROMANOS"/>
        <w:spacing w:line="233" w:lineRule="exact"/>
      </w:pPr>
      <w:r w:rsidRPr="005716C5">
        <w:rPr>
          <w:b/>
        </w:rPr>
        <w:t>27.</w:t>
      </w:r>
      <w:r w:rsidRPr="005716C5">
        <w:rPr>
          <w:b/>
        </w:rPr>
        <w:tab/>
        <w:t xml:space="preserve">Renta o arrendamiento de activos registrados como recuperables en el Contrato de origen. </w:t>
      </w:r>
      <w:r w:rsidRPr="005716C5">
        <w:t>El Contratista notificará a la Secretaría de Hacienda cuando rente, arriende o preste servicios con los activos registrados como recuperables y, en su caso, recuperados al amparo del Contrato. El FMP disminuirá de los Costos Recuperables, los ingresos que el Contratista reciba por los conceptos de renta o arrendamiento de los bienes. Tratándose de los ingresos que el Contratista reciba por la prestación de servicios por el uso compartido de infraestructura, así como de los costos asociados a dichos servicios, tendrán el tratamiento establecido en el Contrato.</w:t>
      </w:r>
    </w:p>
    <w:p w:rsidR="00741B2D" w:rsidRPr="005716C5" w:rsidRDefault="00741B2D" w:rsidP="00741B2D">
      <w:pPr>
        <w:pStyle w:val="ROMANOS"/>
        <w:spacing w:line="233" w:lineRule="exact"/>
      </w:pPr>
      <w:r w:rsidRPr="005716C5">
        <w:rPr>
          <w:b/>
        </w:rPr>
        <w:t>28.</w:t>
      </w:r>
      <w:r w:rsidRPr="005716C5">
        <w:rPr>
          <w:b/>
        </w:rPr>
        <w:tab/>
        <w:t xml:space="preserve">Adquisición de Activos de otro Contrato. </w:t>
      </w:r>
      <w:r w:rsidRPr="005716C5">
        <w:t xml:space="preserve">Para la adquisición de bienes cuyo Costo hubiera sido recuperado parcial o totalmente en otro Contrato, se considerará el valor en libros, remanente o valor de desecho del bien, siempre que no sea superior al Precio de Mercado, ajustado por su vida útil. La adquisición de los bienes deberá contar con la autorización previa de la CNH. En caso de que el precio de dichos bienes sea superior al Precio de Mercado, la diferencia entre el precio pactado y la mediana del rango del Precio de Mercado, conforme el procedimiento del método </w:t>
      </w:r>
      <w:proofErr w:type="spellStart"/>
      <w:r w:rsidRPr="005716C5">
        <w:t>intercuartil</w:t>
      </w:r>
      <w:proofErr w:type="spellEnd"/>
      <w:r w:rsidRPr="005716C5">
        <w:t xml:space="preserve">, en términos de la Normatividad Aplicable, no será considerada como Costo Recuperable o deducible. La determinación del Precio de Mercado deberá estimarse considerando los precios y montos de las </w:t>
      </w:r>
      <w:r w:rsidRPr="005716C5">
        <w:lastRenderedPageBreak/>
        <w:t>contraprestaciones que se hubieren utilizado con o entre partes independientes en operaciones comparables en términos de lo dispuesto en los numerales 20 y 21 de los presentes Lineamientos.</w:t>
      </w:r>
    </w:p>
    <w:p w:rsidR="00741B2D" w:rsidRPr="005716C5" w:rsidRDefault="00741B2D" w:rsidP="00741B2D">
      <w:pPr>
        <w:pStyle w:val="ROMANOS"/>
        <w:spacing w:line="233" w:lineRule="exact"/>
      </w:pPr>
      <w:r w:rsidRPr="005716C5">
        <w:rPr>
          <w:b/>
        </w:rPr>
        <w:t>29.</w:t>
      </w:r>
      <w:r w:rsidRPr="005716C5">
        <w:rPr>
          <w:b/>
        </w:rPr>
        <w:tab/>
        <w:t>Recuperación en Contratos de inversiones realizadas mediante Asignación.</w:t>
      </w:r>
      <w:r w:rsidRPr="005716C5">
        <w:t xml:space="preserve"> En los casos en los que se solicite la migración de una Asignación a un Contrato, en éste solamente se podrá registrar como recuperable el saldo pendiente por depreciar conforme la Normatividad Aplicable vigente de las inversiones realizadas al amparo de la Asignación.</w:t>
      </w:r>
    </w:p>
    <w:p w:rsidR="00741B2D" w:rsidRPr="005716C5" w:rsidRDefault="00741B2D" w:rsidP="00741B2D">
      <w:pPr>
        <w:pStyle w:val="ROMANOS"/>
        <w:spacing w:line="233" w:lineRule="exact"/>
      </w:pPr>
      <w:r w:rsidRPr="005716C5">
        <w:rPr>
          <w:b/>
        </w:rPr>
        <w:t>30.</w:t>
      </w:r>
      <w:r w:rsidRPr="005716C5">
        <w:rPr>
          <w:b/>
        </w:rPr>
        <w:tab/>
      </w:r>
      <w:r w:rsidRPr="005716C5">
        <w:t>En caso que se descubra un Campo o Yacimiento compartido, el Contratista y/o Asignatario deberá registrar en la Cuenta Operativa del Contrato o Asignación los Costos Recuperables en proporción de la distribución de la producción que la Secretaria de Energía apruebe en la unificación del Campo o Yacimientos de Extracción respectiva.</w:t>
      </w:r>
    </w:p>
    <w:p w:rsidR="00741B2D" w:rsidRPr="005716C5" w:rsidRDefault="00741B2D" w:rsidP="00741B2D">
      <w:pPr>
        <w:pStyle w:val="ROMANOS"/>
        <w:spacing w:line="233" w:lineRule="exact"/>
      </w:pPr>
      <w:r w:rsidRPr="005716C5">
        <w:rPr>
          <w:b/>
        </w:rPr>
        <w:t>31.</w:t>
      </w:r>
      <w:r w:rsidRPr="005716C5">
        <w:tab/>
        <w:t>Para la procura de bienes y servicios, el Contratista o Asignatario deberá observar los presentes Lineamientos, así como las reglas y bases sobre la procura de bienes y servicios para las actividades llevadas a cabo al amparo de los Contratos y Asignaciones, debiendo sujetarse a los principios de transparencia, economía y eficiencia.</w:t>
      </w:r>
    </w:p>
    <w:p w:rsidR="00741B2D" w:rsidRPr="005716C5" w:rsidRDefault="00741B2D" w:rsidP="00741B2D">
      <w:pPr>
        <w:pStyle w:val="ROMANOS"/>
        <w:spacing w:line="233" w:lineRule="exact"/>
      </w:pPr>
      <w:r w:rsidRPr="005716C5">
        <w:rPr>
          <w:b/>
        </w:rPr>
        <w:t>32.</w:t>
      </w:r>
      <w:r w:rsidRPr="005716C5">
        <w:rPr>
          <w:b/>
        </w:rPr>
        <w:tab/>
      </w:r>
      <w:r w:rsidRPr="005716C5">
        <w:t>El Contratista o Asignatario, deberá observar lo siguiente respecto a las adquisiciones y contrataciones:</w:t>
      </w:r>
    </w:p>
    <w:p w:rsidR="00741B2D" w:rsidRPr="005716C5" w:rsidRDefault="00741B2D" w:rsidP="00741B2D">
      <w:pPr>
        <w:pStyle w:val="INCISO"/>
        <w:spacing w:line="233" w:lineRule="exact"/>
      </w:pPr>
      <w:r w:rsidRPr="005716C5">
        <w:rPr>
          <w:b/>
        </w:rPr>
        <w:t>I.</w:t>
      </w:r>
      <w:r w:rsidRPr="005716C5">
        <w:rPr>
          <w:b/>
        </w:rPr>
        <w:tab/>
      </w:r>
      <w:r w:rsidRPr="005716C5">
        <w:t>Cumplir con lo señalado en el “Acuerdo por el que se establece la Metodología para la Medición del Contenido Nacional en Asignaciones y Contratos para la Exploración y Extracción de Hidrocarburos, así como para los permisos en la Industria de Hidrocarburos”, emitido por la Secretaría de Economía, o en su caso el que lo sustituya;</w:t>
      </w:r>
    </w:p>
    <w:p w:rsidR="00741B2D" w:rsidRPr="008D5E7D" w:rsidRDefault="00741B2D" w:rsidP="00741B2D">
      <w:pPr>
        <w:pStyle w:val="INCISO"/>
        <w:spacing w:line="231" w:lineRule="exact"/>
        <w:rPr>
          <w:b/>
        </w:rPr>
      </w:pPr>
      <w:r w:rsidRPr="005716C5">
        <w:rPr>
          <w:b/>
        </w:rPr>
        <w:t>II.</w:t>
      </w:r>
      <w:r w:rsidRPr="005716C5">
        <w:rPr>
          <w:b/>
        </w:rPr>
        <w:tab/>
      </w:r>
      <w:r w:rsidRPr="008D5E7D">
        <w:rPr>
          <w:b/>
        </w:rPr>
        <w:t>…</w:t>
      </w:r>
    </w:p>
    <w:p w:rsidR="00741B2D" w:rsidRPr="005716C5" w:rsidRDefault="00741B2D" w:rsidP="00741B2D">
      <w:pPr>
        <w:pStyle w:val="INCISO"/>
        <w:spacing w:line="231" w:lineRule="exact"/>
      </w:pPr>
      <w:r w:rsidRPr="005716C5">
        <w:rPr>
          <w:b/>
        </w:rPr>
        <w:t>III.</w:t>
      </w:r>
      <w:r w:rsidRPr="005716C5">
        <w:rPr>
          <w:b/>
        </w:rPr>
        <w:tab/>
      </w:r>
      <w:r w:rsidRPr="005716C5">
        <w:t>Adquirir de manera preferente materiales, equipo, maquinaria y demás bienes de consumo de producción nacional, cuando su cantidad, calidad y fechas de entrega sean similares a aquellos materiales, equipo, maquinaria y demás bienes de consumo disponibles en el mercado internacional y cuando los precios de sus bienes se encuentren dentro de las referencias o Precios de Mercado.</w:t>
      </w:r>
    </w:p>
    <w:p w:rsidR="00741B2D" w:rsidRPr="005716C5" w:rsidRDefault="00741B2D" w:rsidP="00741B2D">
      <w:pPr>
        <w:pStyle w:val="Texto"/>
        <w:spacing w:line="231" w:lineRule="exact"/>
        <w:rPr>
          <w:b/>
          <w:szCs w:val="24"/>
        </w:rPr>
      </w:pPr>
      <w:r w:rsidRPr="005716C5">
        <w:rPr>
          <w:b/>
          <w:szCs w:val="24"/>
        </w:rPr>
        <w:t>Sección II. Del procedimiento para la contratación de proveedores de bienes y servicios.</w:t>
      </w:r>
    </w:p>
    <w:p w:rsidR="00741B2D" w:rsidRPr="005716C5" w:rsidRDefault="00741B2D" w:rsidP="00741B2D">
      <w:pPr>
        <w:pStyle w:val="ROMANOS"/>
        <w:spacing w:line="231" w:lineRule="exact"/>
      </w:pPr>
      <w:r w:rsidRPr="005716C5">
        <w:rPr>
          <w:b/>
        </w:rPr>
        <w:t>33.</w:t>
      </w:r>
      <w:r w:rsidRPr="005716C5">
        <w:rPr>
          <w:b/>
        </w:rPr>
        <w:tab/>
      </w:r>
      <w:r w:rsidRPr="005716C5">
        <w:t xml:space="preserve">Para la contratación de proveedores se deberá considerar a la empresa que ofrezca la mejor calidad, precio, logística, garantías para los volúmenes de los bienes y servicios que se requieran a lo largo del proyecto. Para tal efecto, el Contratista o Asignatario deberá apegarse a lo señalado en los presentes Lineamientos y en su caso presentar la documentación correspondiente con la finalidad </w:t>
      </w:r>
      <w:r>
        <w:t xml:space="preserve"> </w:t>
      </w:r>
      <w:r w:rsidRPr="005716C5">
        <w:t>de demostrar que la contratación de dichos bienes y/o servicios no fue pactada por encima de referencias o de Precios de Mercado.</w:t>
      </w:r>
    </w:p>
    <w:p w:rsidR="00741B2D" w:rsidRPr="005716C5" w:rsidRDefault="00741B2D" w:rsidP="00741B2D">
      <w:pPr>
        <w:pStyle w:val="INCISO"/>
        <w:spacing w:line="231" w:lineRule="exact"/>
      </w:pPr>
      <w:r w:rsidRPr="005716C5">
        <w:rPr>
          <w:b/>
        </w:rPr>
        <w:t>I.</w:t>
      </w:r>
      <w:r w:rsidRPr="005716C5">
        <w:t xml:space="preserve"> </w:t>
      </w:r>
      <w:r w:rsidRPr="005716C5">
        <w:tab/>
        <w:t>Se deroga.</w:t>
      </w:r>
    </w:p>
    <w:p w:rsidR="00741B2D" w:rsidRPr="005716C5" w:rsidRDefault="00741B2D" w:rsidP="00741B2D">
      <w:pPr>
        <w:pStyle w:val="INCISO"/>
        <w:spacing w:line="231" w:lineRule="exact"/>
      </w:pPr>
      <w:r w:rsidRPr="005716C5">
        <w:rPr>
          <w:b/>
        </w:rPr>
        <w:t>II.</w:t>
      </w:r>
      <w:r w:rsidRPr="005716C5">
        <w:t xml:space="preserve"> </w:t>
      </w:r>
      <w:r w:rsidRPr="005716C5">
        <w:tab/>
        <w:t>Se deroga.</w:t>
      </w:r>
    </w:p>
    <w:p w:rsidR="00741B2D" w:rsidRPr="005716C5" w:rsidRDefault="00741B2D" w:rsidP="00741B2D">
      <w:pPr>
        <w:pStyle w:val="ROMANOS"/>
        <w:spacing w:line="231" w:lineRule="exact"/>
      </w:pPr>
      <w:r>
        <w:tab/>
      </w:r>
      <w:r w:rsidRPr="005716C5">
        <w:t>Se deroga.</w:t>
      </w:r>
    </w:p>
    <w:p w:rsidR="00741B2D" w:rsidRPr="005716C5" w:rsidRDefault="00741B2D" w:rsidP="00741B2D">
      <w:pPr>
        <w:pStyle w:val="ROMANOS"/>
        <w:spacing w:line="231" w:lineRule="exact"/>
      </w:pPr>
      <w:r w:rsidRPr="005716C5">
        <w:rPr>
          <w:b/>
        </w:rPr>
        <w:t>34.</w:t>
      </w:r>
      <w:r w:rsidRPr="005716C5">
        <w:rPr>
          <w:b/>
        </w:rPr>
        <w:tab/>
      </w:r>
      <w:r w:rsidRPr="005716C5">
        <w:t>Los bienes o servicios que se encuentren vinculados a procesos conjuntos, deberán ser convenidos de forma integrada, siempre y cuando represente una mayor garantía de suministro y un mayor beneficio económico asociado.</w:t>
      </w:r>
    </w:p>
    <w:p w:rsidR="00741B2D" w:rsidRPr="005716C5" w:rsidRDefault="00741B2D" w:rsidP="00741B2D">
      <w:pPr>
        <w:pStyle w:val="ROMANOS"/>
        <w:spacing w:line="231" w:lineRule="exact"/>
      </w:pPr>
      <w:r>
        <w:tab/>
      </w:r>
      <w:r w:rsidRPr="005716C5">
        <w:t>Las bases o pliego de requisitos de los términos de referencia de los concursos o licitaciones para la contratación de proveedores de bienes y servicios deberán establecer las condiciones de naturaleza jurídica, de capacidad económica, financiera, técnica, de experiencia u otros que deban de cumplir los concursantes o licitantes para participar en los mismos. El Contratista o Asignatario no deberá establecer requisitos que impidan y dificulten la participación de las empresas o que atenten contra la igualdad de los postulantes.</w:t>
      </w:r>
    </w:p>
    <w:p w:rsidR="00741B2D" w:rsidRPr="005716C5" w:rsidRDefault="00741B2D" w:rsidP="00741B2D">
      <w:pPr>
        <w:pStyle w:val="ROMANOS"/>
        <w:spacing w:line="231" w:lineRule="exact"/>
      </w:pPr>
      <w:r w:rsidRPr="005716C5">
        <w:rPr>
          <w:b/>
        </w:rPr>
        <w:t>35.</w:t>
      </w:r>
      <w:r w:rsidRPr="005716C5">
        <w:tab/>
      </w:r>
      <w:r w:rsidRPr="008D5E7D">
        <w:rPr>
          <w:b/>
        </w:rPr>
        <w:t>…</w:t>
      </w:r>
    </w:p>
    <w:p w:rsidR="00741B2D" w:rsidRPr="008D5E7D" w:rsidRDefault="00741B2D" w:rsidP="00741B2D">
      <w:pPr>
        <w:pStyle w:val="ROMANOS"/>
        <w:spacing w:line="231" w:lineRule="exact"/>
        <w:rPr>
          <w:b/>
        </w:rPr>
      </w:pPr>
      <w:r>
        <w:rPr>
          <w:b/>
        </w:rPr>
        <w:tab/>
      </w:r>
      <w:r w:rsidRPr="008D5E7D">
        <w:rPr>
          <w:b/>
        </w:rPr>
        <w:t>…</w:t>
      </w:r>
    </w:p>
    <w:p w:rsidR="00741B2D" w:rsidRPr="008D5E7D" w:rsidRDefault="00741B2D" w:rsidP="00741B2D">
      <w:pPr>
        <w:pStyle w:val="ROMANOS"/>
        <w:spacing w:line="231" w:lineRule="exact"/>
        <w:rPr>
          <w:b/>
        </w:rPr>
      </w:pPr>
      <w:r>
        <w:rPr>
          <w:b/>
        </w:rPr>
        <w:tab/>
      </w:r>
      <w:r w:rsidRPr="008D5E7D">
        <w:rPr>
          <w:b/>
        </w:rPr>
        <w:t>…</w:t>
      </w:r>
    </w:p>
    <w:p w:rsidR="00741B2D" w:rsidRPr="005716C5" w:rsidRDefault="00741B2D" w:rsidP="00741B2D">
      <w:pPr>
        <w:pStyle w:val="INCISO"/>
        <w:spacing w:line="231" w:lineRule="exact"/>
      </w:pPr>
      <w:r w:rsidRPr="005716C5">
        <w:rPr>
          <w:b/>
        </w:rPr>
        <w:lastRenderedPageBreak/>
        <w:t>I.</w:t>
      </w:r>
      <w:r w:rsidRPr="005716C5">
        <w:tab/>
        <w:t>Para contratos o adquisiciones con un valor menor o igual a $1</w:t>
      </w:r>
      <w:proofErr w:type="gramStart"/>
      <w:r w:rsidRPr="005716C5">
        <w:t>,000,000</w:t>
      </w:r>
      <w:proofErr w:type="gramEnd"/>
      <w:r w:rsidRPr="005716C5">
        <w:t xml:space="preserve"> USD (un millón de Dólares) o su equivalente en moneda nacional, el Contratista o Asignatario tendrá libertad </w:t>
      </w:r>
      <w:r>
        <w:t xml:space="preserve"> </w:t>
      </w:r>
      <w:r w:rsidRPr="005716C5">
        <w:t>de determinar los procedimientos y métodos para elegir al proveedor que considere adecuado. El Contratista o Asignatario deberá conservar la información, documentación y/o evidencia con la cual se demuestre para efecto de las operaciones relacionadas con dicha subcontratación o adquisición celebradas con partes relacionadas, tanto residentes en territorio nacional como en el extranjero, que fueron determinadas considerando los precios y montos de contraprestaciones que hubieran utilizado con o entre partes independientes en operaciones comparables. Tratándose de operaciones con Terceros que estén sujetas a acuerdos de procura o suministro de carácter regional o global, el Contratista o Asignatario deberá conservar la información, documentación y/o evidencia de que dichas operaciones fueron llevadas a cabo bajo referencias de mercado y que, en su caso, los beneficios derivados de dichas contrataciones se reflejen en menores Costos por recuperar o deducir según sea el caso;</w:t>
      </w:r>
    </w:p>
    <w:p w:rsidR="00741B2D" w:rsidRPr="005716C5" w:rsidRDefault="00741B2D" w:rsidP="00741B2D">
      <w:pPr>
        <w:pStyle w:val="INCISO"/>
        <w:spacing w:line="231" w:lineRule="exact"/>
      </w:pPr>
      <w:r w:rsidRPr="005716C5">
        <w:rPr>
          <w:b/>
        </w:rPr>
        <w:t>II.</w:t>
      </w:r>
      <w:r w:rsidRPr="005716C5">
        <w:tab/>
        <w:t>Para contratos o adquisiciones con un valor mayor a $1</w:t>
      </w:r>
      <w:proofErr w:type="gramStart"/>
      <w:r w:rsidRPr="005716C5">
        <w:t>,000,000</w:t>
      </w:r>
      <w:proofErr w:type="gramEnd"/>
      <w:r w:rsidRPr="005716C5">
        <w:t xml:space="preserve"> USD (un millón de Dólares) e inferior o igual a $20,000,000 USD (veinte millones de Dólares), o su equivalente en moneda nacional, el Contratista o Asignatario deberá contar con al menos tres cotizaciones para el bien o servicio a adquirir o contratar. En caso de que el valor de la cotización elegida sea superior en un 5% (cinco por ciento) a la cotización de menor precio que se encuentre en referencias o Precios de Mercado, el Contratista o Asignatario deberá justificar la razón por la cual optó por dicha cotización y los criterios técnicos y económicos considerados. En el caso que, como resultado de realizar el proceso anteriormente descrito, el proveedor elegido sea una Parte Relacionada, el Contratista o Asignatario deberá hacer entrega del contrato relativo a la operación y el Estudio de Precios de Transferencia correspondiente a la Secretaría de Hacienda y a la CNH, a través de los sistemas del FMP, y</w:t>
      </w:r>
    </w:p>
    <w:p w:rsidR="00741B2D" w:rsidRPr="005716C5" w:rsidRDefault="00741B2D" w:rsidP="00741B2D">
      <w:pPr>
        <w:pStyle w:val="INCISO"/>
        <w:spacing w:line="224" w:lineRule="exact"/>
      </w:pPr>
      <w:r w:rsidRPr="005716C5">
        <w:rPr>
          <w:b/>
        </w:rPr>
        <w:t>III.</w:t>
      </w:r>
      <w:r w:rsidRPr="005716C5">
        <w:tab/>
        <w:t>Para contratos o adquisiciones con un valor mayor a $20,000,000 USD (veinte millones de Dólares), o su equivalente en moneda nacional, el Contratista o Asignatario deberá realizar un concurso o licitación pública internacional, en el cual otorgue el mismo trato a todos los participantes y elija aquel que ofrezca las mejores condiciones económicas. En caso de que elija una propuesta que no signifique el menor precio, deberá justificar la razón de la elección y los criterios técnicos y económicos considerados.</w:t>
      </w:r>
    </w:p>
    <w:p w:rsidR="00741B2D" w:rsidRPr="008D5E7D" w:rsidRDefault="00741B2D" w:rsidP="00741B2D">
      <w:pPr>
        <w:pStyle w:val="ROMANOS"/>
        <w:spacing w:line="224" w:lineRule="exact"/>
        <w:rPr>
          <w:b/>
        </w:rPr>
      </w:pPr>
      <w:r>
        <w:tab/>
      </w:r>
      <w:r w:rsidRPr="008D5E7D">
        <w:rPr>
          <w:b/>
        </w:rPr>
        <w:t>…</w:t>
      </w:r>
    </w:p>
    <w:p w:rsidR="00741B2D" w:rsidRPr="005716C5" w:rsidRDefault="00741B2D" w:rsidP="00741B2D">
      <w:pPr>
        <w:pStyle w:val="ROMANOS"/>
        <w:spacing w:line="224" w:lineRule="exact"/>
      </w:pPr>
      <w:r>
        <w:tab/>
      </w:r>
      <w:r w:rsidRPr="005716C5">
        <w:t>Asimismo, el Contratista o Asignatario deberá asegurar a todos los participantes el mismo tratamiento, de modo que exista una competencia efectiva, evitando todo tipo de preferencias o discriminaciones que favorezcan o perjudiquen a unos en detrimento o beneficio de otros. También deberá establecerse una clara identificación del objeto concursado o licitado, así como de las condiciones del servicio o entrega de los bienes y/o servicios para determinar los términos del futuro contrato. En la medida que los bienes y/o servicios se concursen o liciten, se deberán evitar restricciones innecesarias que reduzcan el número de concursantes o licitantes calificados.</w:t>
      </w:r>
    </w:p>
    <w:p w:rsidR="00741B2D" w:rsidRPr="005716C5" w:rsidRDefault="00741B2D" w:rsidP="00741B2D">
      <w:pPr>
        <w:pStyle w:val="ROMANOS"/>
        <w:spacing w:line="224" w:lineRule="exact"/>
      </w:pPr>
      <w:r>
        <w:tab/>
      </w:r>
      <w:r w:rsidRPr="005716C5">
        <w:t>El método de concurso o licitación deberá contemplar preferentemente que las ofertas se presenten por escrito y en sobres cerrados dentro de los plazos establecidos, debiendo estar firmadas por los representantes legales de los oferentes y cumplir los requisitos establecidos en los documentos del concurso o licitación.</w:t>
      </w:r>
    </w:p>
    <w:p w:rsidR="00741B2D" w:rsidRPr="008D5E7D" w:rsidRDefault="00741B2D" w:rsidP="00741B2D">
      <w:pPr>
        <w:pStyle w:val="ROMANOS"/>
        <w:spacing w:line="224" w:lineRule="exact"/>
        <w:rPr>
          <w:b/>
        </w:rPr>
      </w:pPr>
      <w:r>
        <w:tab/>
      </w:r>
      <w:r w:rsidRPr="008D5E7D">
        <w:rPr>
          <w:b/>
        </w:rPr>
        <w:t>…</w:t>
      </w:r>
    </w:p>
    <w:p w:rsidR="00741B2D" w:rsidRPr="008D5E7D" w:rsidRDefault="00741B2D" w:rsidP="00741B2D">
      <w:pPr>
        <w:pStyle w:val="ROMANOS"/>
        <w:spacing w:line="224" w:lineRule="exact"/>
        <w:rPr>
          <w:b/>
        </w:rPr>
      </w:pPr>
      <w:r w:rsidRPr="008D5E7D">
        <w:rPr>
          <w:b/>
        </w:rPr>
        <w:tab/>
        <w:t>…</w:t>
      </w:r>
    </w:p>
    <w:p w:rsidR="00741B2D" w:rsidRPr="008D5E7D" w:rsidRDefault="00741B2D" w:rsidP="00741B2D">
      <w:pPr>
        <w:pStyle w:val="ROMANOS"/>
        <w:spacing w:line="224" w:lineRule="exact"/>
        <w:rPr>
          <w:b/>
        </w:rPr>
      </w:pPr>
      <w:r w:rsidRPr="008D5E7D">
        <w:rPr>
          <w:b/>
        </w:rPr>
        <w:tab/>
        <w:t>…</w:t>
      </w:r>
    </w:p>
    <w:p w:rsidR="00741B2D" w:rsidRPr="005716C5" w:rsidRDefault="00741B2D" w:rsidP="00741B2D">
      <w:pPr>
        <w:pStyle w:val="ROMANOS"/>
        <w:spacing w:line="224" w:lineRule="exact"/>
      </w:pPr>
      <w:r>
        <w:tab/>
      </w:r>
      <w:r w:rsidRPr="005716C5">
        <w:t>Se deroga.</w:t>
      </w:r>
    </w:p>
    <w:p w:rsidR="00741B2D" w:rsidRPr="005716C5" w:rsidRDefault="00741B2D" w:rsidP="00741B2D">
      <w:pPr>
        <w:pStyle w:val="ROMANOS"/>
        <w:spacing w:line="224" w:lineRule="exact"/>
      </w:pPr>
      <w:r>
        <w:tab/>
      </w:r>
      <w:r w:rsidRPr="005716C5">
        <w:t xml:space="preserve">Los umbrales a los que se refiere el presente numeral se actualizarán en el mes de enero de cada año, conforme a la variación del Índice de Precios al Productor de Estados Unidos de América publicado por el Bureau of Labor </w:t>
      </w:r>
      <w:proofErr w:type="spellStart"/>
      <w:r w:rsidRPr="005716C5">
        <w:t>Statistics</w:t>
      </w:r>
      <w:proofErr w:type="spellEnd"/>
      <w:r w:rsidRPr="005716C5">
        <w:t xml:space="preserve"> de los Estados Unidos de América, con identificación WPU00000000 sin ajuste estacional, que corresponde al índice de todas las mercancías o, en su caso, el que lo sustituya por decisión de la institución emisora. En caso de ajustes o revisiones a dicho índice de precios, prevalecerá la primera versión publicada. En caso de modificación a la </w:t>
      </w:r>
      <w:r w:rsidRPr="005716C5">
        <w:lastRenderedPageBreak/>
        <w:t>referencia del índice, la Secretaría de Hacienda debe dar a conocer la nueva referencia que sea representativa para tales efectos.</w:t>
      </w:r>
    </w:p>
    <w:p w:rsidR="00741B2D" w:rsidRPr="005716C5" w:rsidRDefault="00741B2D" w:rsidP="00741B2D">
      <w:pPr>
        <w:pStyle w:val="ROMANOS"/>
        <w:spacing w:line="224" w:lineRule="exact"/>
      </w:pPr>
      <w:r w:rsidRPr="008D5E7D">
        <w:rPr>
          <w:b/>
        </w:rPr>
        <w:t>36.</w:t>
      </w:r>
      <w:r w:rsidRPr="005716C5">
        <w:tab/>
        <w:t>En caso de que los Costos de alguna contratación realizada conforme a los procedimientos referidos en las fracciones II y III del numeral anterior se incrementen debido a circunstancias no previstas, el Contratista o Asignatario deberá observar lo siguiente:</w:t>
      </w:r>
    </w:p>
    <w:p w:rsidR="00741B2D" w:rsidRPr="005716C5" w:rsidRDefault="00741B2D" w:rsidP="00741B2D">
      <w:pPr>
        <w:pStyle w:val="INCISO"/>
        <w:spacing w:line="224" w:lineRule="exact"/>
      </w:pPr>
      <w:r w:rsidRPr="005716C5">
        <w:rPr>
          <w:b/>
        </w:rPr>
        <w:t>I.</w:t>
      </w:r>
      <w:r w:rsidRPr="005716C5">
        <w:tab/>
        <w:t>Si los Costos se incrementan en un monto igual o menor a 5% (cinco por ciento) pero no se encuentran por encima de referencias o de Precios de Mercado, de acuerdo a los análisis realizados previamente, no será necesario presentar la documentación en la cual se sustente dicho aumento;</w:t>
      </w:r>
    </w:p>
    <w:p w:rsidR="00741B2D" w:rsidRPr="005716C5" w:rsidRDefault="00741B2D" w:rsidP="00741B2D">
      <w:pPr>
        <w:pStyle w:val="INCISO"/>
        <w:spacing w:line="224" w:lineRule="exact"/>
      </w:pPr>
      <w:r w:rsidRPr="005716C5">
        <w:rPr>
          <w:b/>
        </w:rPr>
        <w:t>II.</w:t>
      </w:r>
      <w:r w:rsidRPr="005716C5">
        <w:tab/>
        <w:t>Si los Costos se incrementan en un monto mayor a 5% (cinco por ciento) pero no se encuentran por encima de referencias o de Precios de Mercado, de acuerdo a los análisis realizados previamente, será necesario presentar la documentación en la cual se sustente dicho aumento.</w:t>
      </w:r>
    </w:p>
    <w:p w:rsidR="00741B2D" w:rsidRPr="008D5E7D" w:rsidRDefault="00741B2D" w:rsidP="00741B2D">
      <w:pPr>
        <w:pStyle w:val="INCISO"/>
        <w:spacing w:line="224" w:lineRule="exact"/>
        <w:rPr>
          <w:b/>
        </w:rPr>
      </w:pPr>
      <w:r>
        <w:tab/>
      </w:r>
      <w:r w:rsidRPr="008D5E7D">
        <w:rPr>
          <w:b/>
        </w:rPr>
        <w:t>…</w:t>
      </w:r>
    </w:p>
    <w:p w:rsidR="00741B2D" w:rsidRPr="005716C5" w:rsidRDefault="00741B2D" w:rsidP="00741B2D">
      <w:pPr>
        <w:pStyle w:val="INCISO"/>
        <w:spacing w:line="224" w:lineRule="exact"/>
      </w:pPr>
      <w:r w:rsidRPr="005716C5">
        <w:rPr>
          <w:b/>
        </w:rPr>
        <w:t>III.</w:t>
      </w:r>
      <w:r w:rsidRPr="005716C5">
        <w:tab/>
        <w:t>En caso de que el aumento en los Costos se ubique por encima de referencias o de Precios de Mercado, la parte del costo fuera de rango no se considerará recuperable o deducible.</w:t>
      </w:r>
    </w:p>
    <w:p w:rsidR="00741B2D" w:rsidRPr="005716C5" w:rsidRDefault="00741B2D" w:rsidP="00741B2D">
      <w:pPr>
        <w:pStyle w:val="ROMANOS"/>
        <w:spacing w:line="224" w:lineRule="exact"/>
      </w:pPr>
      <w:r w:rsidRPr="005716C5">
        <w:rPr>
          <w:b/>
        </w:rPr>
        <w:t>37.</w:t>
      </w:r>
      <w:r w:rsidRPr="005716C5">
        <w:tab/>
        <w:t xml:space="preserve">El Contratista o Asignatario podrá asignar directamente el contrato o adquisición a una Parte Relacionada o a un Tercero, sin necesidad de concursar o licitar siempre y cuando demuestre previamente que la propuesta entregada por su Parte Relacionada o Tercero ofrece un precio o contraprestación que no se encuentre por encima de referencias o de Precios de Mercado, montos de contraprestaciones o margen de utilidad de mercado razonables conforme al procedimiento del método </w:t>
      </w:r>
      <w:proofErr w:type="spellStart"/>
      <w:r w:rsidRPr="005716C5">
        <w:t>intercuartil</w:t>
      </w:r>
      <w:proofErr w:type="spellEnd"/>
      <w:r w:rsidRPr="005716C5">
        <w:t xml:space="preserve"> conforme a la Normatividad Aplicable y que, en su caso, los beneficios derivados de dichas contrataciones se reflejen en menores costos por recuperar.</w:t>
      </w:r>
    </w:p>
    <w:p w:rsidR="00741B2D" w:rsidRPr="005716C5" w:rsidRDefault="00741B2D" w:rsidP="00741B2D">
      <w:pPr>
        <w:pStyle w:val="ROMANOS"/>
        <w:spacing w:line="224" w:lineRule="exact"/>
      </w:pPr>
      <w:r>
        <w:tab/>
      </w:r>
      <w:r w:rsidRPr="005716C5">
        <w:t>En caso que bajo una verificación contable y financiera se identifique que el valor del precio se encuentra por encima de referencia o Precio de Mercado, la diferencia no será considerada como Costo Recuperable.</w:t>
      </w:r>
    </w:p>
    <w:p w:rsidR="00741B2D" w:rsidRPr="005716C5" w:rsidRDefault="00741B2D" w:rsidP="00741B2D">
      <w:pPr>
        <w:pStyle w:val="ROMANOS"/>
        <w:spacing w:after="86"/>
      </w:pPr>
      <w:r>
        <w:tab/>
      </w:r>
      <w:r w:rsidRPr="005716C5">
        <w:t>Se deroga.</w:t>
      </w:r>
    </w:p>
    <w:p w:rsidR="00741B2D" w:rsidRPr="005716C5" w:rsidRDefault="00741B2D" w:rsidP="00741B2D">
      <w:pPr>
        <w:pStyle w:val="ROMANOS"/>
        <w:spacing w:after="86"/>
      </w:pPr>
      <w:r>
        <w:tab/>
      </w:r>
      <w:r w:rsidRPr="005716C5">
        <w:t>Se deroga.</w:t>
      </w:r>
    </w:p>
    <w:p w:rsidR="00741B2D" w:rsidRPr="005716C5" w:rsidRDefault="00741B2D" w:rsidP="00741B2D">
      <w:pPr>
        <w:pStyle w:val="ROMANOS"/>
        <w:spacing w:after="86"/>
      </w:pPr>
      <w:r>
        <w:tab/>
      </w:r>
      <w:r w:rsidRPr="005716C5">
        <w:t>Se deroga.</w:t>
      </w:r>
    </w:p>
    <w:p w:rsidR="00741B2D" w:rsidRPr="005716C5" w:rsidRDefault="00741B2D" w:rsidP="00741B2D">
      <w:pPr>
        <w:pStyle w:val="ROMANOS"/>
        <w:spacing w:after="86"/>
      </w:pPr>
      <w:r>
        <w:tab/>
      </w:r>
      <w:r w:rsidRPr="005716C5">
        <w:t>Se deroga.</w:t>
      </w:r>
    </w:p>
    <w:p w:rsidR="00741B2D" w:rsidRPr="005716C5" w:rsidRDefault="00741B2D" w:rsidP="00741B2D">
      <w:pPr>
        <w:pStyle w:val="ROMANOS"/>
        <w:spacing w:after="86"/>
      </w:pPr>
      <w:r w:rsidRPr="005716C5">
        <w:rPr>
          <w:b/>
        </w:rPr>
        <w:t>38.</w:t>
      </w:r>
      <w:r w:rsidRPr="005716C5">
        <w:tab/>
        <w:t>Si en lugar de optar por realizar alguna contratación bajo los procedimientos previstos en las fracciones II y III del numeral 35, el Contratista o Asignatario asigna directamente la procuración de bienes y/o servicios a una Parte Relacionada o un Tercero, en caso de incrementos de Costos se aplicarán los criterios establecidos en el numeral 36 de los presentes Lineamientos.</w:t>
      </w:r>
    </w:p>
    <w:p w:rsidR="00741B2D" w:rsidRPr="005716C5" w:rsidRDefault="00741B2D" w:rsidP="00741B2D">
      <w:pPr>
        <w:pStyle w:val="ROMANOS"/>
        <w:spacing w:after="86"/>
      </w:pPr>
      <w:r>
        <w:tab/>
      </w:r>
      <w:r w:rsidRPr="005716C5">
        <w:t xml:space="preserve">Todo análisis o estudio que tenga como objetivo mostrar que la adquisición o contratación se encuentra a valores de referencia para operaciones con Terceros o Precios de Mercado para Partes Relacionadas, deberá ir acompañado de toda la información que permita replicar los resultados obtenidos, así como los criterios seguidos en su elaboración. En caso que la información que el Contratista provea sea insuficiente para que la Secretaría de Hacienda pueda replicar los resultados obtenidos, la diferencia por encima del valor de la mediana del Costo de que se trate, conforme al procedimiento del método </w:t>
      </w:r>
      <w:proofErr w:type="spellStart"/>
      <w:r w:rsidRPr="005716C5">
        <w:t>intercuartil</w:t>
      </w:r>
      <w:proofErr w:type="spellEnd"/>
      <w:r w:rsidRPr="005716C5">
        <w:t xml:space="preserve"> previsto en la Normatividad Aplicable, no será considerado como Costo Recuperable.</w:t>
      </w:r>
    </w:p>
    <w:p w:rsidR="00741B2D" w:rsidRPr="005716C5" w:rsidRDefault="00741B2D" w:rsidP="00741B2D">
      <w:pPr>
        <w:pStyle w:val="ROMANOS"/>
        <w:spacing w:after="86"/>
      </w:pPr>
      <w:r w:rsidRPr="005716C5">
        <w:rPr>
          <w:b/>
        </w:rPr>
        <w:t>42.</w:t>
      </w:r>
      <w:r w:rsidRPr="005716C5">
        <w:tab/>
        <w:t>El registro de la información sobre producción, ingresos, Costos, así como sobre el pago de las Contraprestaciones establecidas en los Contratos, se llevará a cabo de acuerdo al Contrato correspondiente y a los presentes Lineamientos.</w:t>
      </w:r>
    </w:p>
    <w:p w:rsidR="00741B2D" w:rsidRPr="008D5E7D" w:rsidRDefault="00741B2D" w:rsidP="00741B2D">
      <w:pPr>
        <w:pStyle w:val="ROMANOS"/>
        <w:spacing w:after="86"/>
        <w:rPr>
          <w:b/>
        </w:rPr>
      </w:pPr>
      <w:r>
        <w:tab/>
      </w:r>
      <w:r w:rsidRPr="008D5E7D">
        <w:rPr>
          <w:b/>
        </w:rPr>
        <w:t>…</w:t>
      </w:r>
    </w:p>
    <w:p w:rsidR="00741B2D" w:rsidRPr="005716C5" w:rsidRDefault="00741B2D" w:rsidP="00741B2D">
      <w:pPr>
        <w:pStyle w:val="ROMANOS"/>
        <w:spacing w:after="86"/>
      </w:pPr>
      <w:r w:rsidRPr="005716C5">
        <w:rPr>
          <w:b/>
        </w:rPr>
        <w:t>43.</w:t>
      </w:r>
      <w:r w:rsidRPr="005716C5">
        <w:tab/>
        <w:t>El FMP realizará el pago de las Contraprestaciones conforme al Contrato correspondiente, una vez que se hayan registrado el Valor Contractual de los Hidrocarburos y los Costos, y que dicha información se encuentre validada conforme los requerimientos del Contrato en el sistema informático que para tal efecto establezca el FMP.</w:t>
      </w:r>
    </w:p>
    <w:p w:rsidR="00741B2D" w:rsidRPr="005716C5" w:rsidRDefault="00741B2D" w:rsidP="00741B2D">
      <w:pPr>
        <w:pStyle w:val="ROMANOS"/>
        <w:spacing w:after="86"/>
      </w:pPr>
      <w:r w:rsidRPr="005716C5">
        <w:rPr>
          <w:b/>
        </w:rPr>
        <w:t>45.</w:t>
      </w:r>
      <w:r w:rsidRPr="005716C5">
        <w:tab/>
      </w:r>
      <w:r w:rsidRPr="008D5E7D">
        <w:rPr>
          <w:b/>
        </w:rPr>
        <w:t>…</w:t>
      </w:r>
    </w:p>
    <w:p w:rsidR="00741B2D" w:rsidRPr="008D5E7D" w:rsidRDefault="00741B2D" w:rsidP="00741B2D">
      <w:pPr>
        <w:pStyle w:val="ROMANOS"/>
        <w:spacing w:after="86"/>
        <w:rPr>
          <w:b/>
        </w:rPr>
      </w:pPr>
      <w:r>
        <w:rPr>
          <w:b/>
        </w:rPr>
        <w:tab/>
      </w:r>
      <w:r w:rsidRPr="008D5E7D">
        <w:rPr>
          <w:b/>
        </w:rPr>
        <w:t>I. a VI….</w:t>
      </w:r>
    </w:p>
    <w:p w:rsidR="00741B2D" w:rsidRPr="005716C5" w:rsidRDefault="00741B2D" w:rsidP="00741B2D">
      <w:pPr>
        <w:pStyle w:val="ROMANOS"/>
        <w:spacing w:after="86"/>
      </w:pPr>
      <w:r>
        <w:lastRenderedPageBreak/>
        <w:tab/>
      </w:r>
      <w:r w:rsidRPr="005716C5">
        <w:t>Dicha información se entregará a más tardar el día 15 de julio del ejercicio siguiente del que se dictaminen los estados financieros.</w:t>
      </w:r>
    </w:p>
    <w:p w:rsidR="00741B2D" w:rsidRPr="005716C5" w:rsidRDefault="00741B2D" w:rsidP="00741B2D">
      <w:pPr>
        <w:pStyle w:val="ROMANOS"/>
        <w:spacing w:after="86"/>
      </w:pPr>
      <w:r w:rsidRPr="008D5E7D">
        <w:rPr>
          <w:b/>
        </w:rPr>
        <w:t>47.</w:t>
      </w:r>
      <w:r w:rsidRPr="008D5E7D">
        <w:rPr>
          <w:b/>
        </w:rPr>
        <w:tab/>
      </w:r>
      <w:r w:rsidRPr="005716C5">
        <w:t>Los Costos de la auditoría externa anual a que se refiere el numeral 44 de los presentes Lineamientos serán cubiertos por el Contratista y serán considerados recuperables.</w:t>
      </w:r>
    </w:p>
    <w:p w:rsidR="00741B2D" w:rsidRPr="008D5E7D" w:rsidRDefault="00741B2D" w:rsidP="00741B2D">
      <w:pPr>
        <w:pStyle w:val="ROMANOS"/>
        <w:spacing w:after="86"/>
        <w:rPr>
          <w:b/>
        </w:rPr>
      </w:pPr>
      <w:r w:rsidRPr="008D5E7D">
        <w:rPr>
          <w:b/>
        </w:rPr>
        <w:t>48.</w:t>
      </w:r>
      <w:r w:rsidRPr="008D5E7D">
        <w:rPr>
          <w:b/>
        </w:rPr>
        <w:tab/>
        <w:t>…</w:t>
      </w:r>
    </w:p>
    <w:p w:rsidR="00741B2D" w:rsidRPr="008D5E7D" w:rsidRDefault="00741B2D" w:rsidP="00741B2D">
      <w:pPr>
        <w:pStyle w:val="ROMANOS"/>
        <w:spacing w:after="86"/>
        <w:rPr>
          <w:b/>
        </w:rPr>
      </w:pPr>
      <w:r>
        <w:rPr>
          <w:b/>
        </w:rPr>
        <w:tab/>
      </w:r>
      <w:r w:rsidRPr="008D5E7D">
        <w:rPr>
          <w:b/>
        </w:rPr>
        <w:t>I. y II. …</w:t>
      </w:r>
    </w:p>
    <w:p w:rsidR="00741B2D" w:rsidRPr="005716C5" w:rsidRDefault="00741B2D" w:rsidP="00741B2D">
      <w:pPr>
        <w:pStyle w:val="ROMANOS"/>
        <w:spacing w:after="86"/>
      </w:pPr>
      <w:r>
        <w:tab/>
      </w:r>
      <w:r w:rsidRPr="005716C5">
        <w:t>Las labores de verificación se practicarán a la Cuenta Operativa, a los Costos, y a las contraprestaciones, así como a los registros y originales de los justificantes primarios relacionados con dicha Cuenta Operativa y a los Costos Recuperables, en el curso de cualquier año o parte del mismo.</w:t>
      </w:r>
    </w:p>
    <w:p w:rsidR="00741B2D" w:rsidRPr="005716C5" w:rsidRDefault="00741B2D" w:rsidP="00741B2D">
      <w:pPr>
        <w:pStyle w:val="ROMANOS"/>
        <w:spacing w:after="86"/>
      </w:pPr>
      <w:r>
        <w:tab/>
      </w:r>
      <w:r w:rsidRPr="005716C5">
        <w:t>Asimismo, las labores de verificación se realizarán respecto de las actividades de procura de bienes y/o servicios que realice el Contratista.</w:t>
      </w:r>
    </w:p>
    <w:p w:rsidR="00741B2D" w:rsidRPr="005716C5" w:rsidRDefault="00741B2D" w:rsidP="00741B2D">
      <w:pPr>
        <w:pStyle w:val="ROMANOS"/>
        <w:spacing w:after="86"/>
      </w:pPr>
      <w:r w:rsidRPr="008D5E7D">
        <w:rPr>
          <w:b/>
        </w:rPr>
        <w:t>49.</w:t>
      </w:r>
      <w:r w:rsidRPr="008D5E7D">
        <w:rPr>
          <w:b/>
        </w:rPr>
        <w:tab/>
      </w:r>
      <w:r w:rsidRPr="005716C5">
        <w:t>La Secretaría de Hacienda podrá realizar auditorías, consistentes en requerimientos de información al Contratista. Para tal efecto, se notificará el requerimiento al Contratista, mismo que deberá contener, al menos, lo siguiente:</w:t>
      </w:r>
    </w:p>
    <w:p w:rsidR="00741B2D" w:rsidRPr="008D5E7D" w:rsidRDefault="00741B2D" w:rsidP="00741B2D">
      <w:pPr>
        <w:pStyle w:val="ROMANOS"/>
        <w:spacing w:after="86"/>
        <w:rPr>
          <w:b/>
        </w:rPr>
      </w:pPr>
      <w:r>
        <w:tab/>
      </w:r>
      <w:r w:rsidRPr="008D5E7D">
        <w:rPr>
          <w:b/>
        </w:rPr>
        <w:t>I. a V.…</w:t>
      </w:r>
    </w:p>
    <w:p w:rsidR="00741B2D" w:rsidRPr="008D5E7D" w:rsidRDefault="00741B2D" w:rsidP="00741B2D">
      <w:pPr>
        <w:pStyle w:val="ROMANOS"/>
        <w:spacing w:after="86"/>
        <w:rPr>
          <w:b/>
        </w:rPr>
      </w:pPr>
      <w:r w:rsidRPr="008D5E7D">
        <w:rPr>
          <w:b/>
        </w:rPr>
        <w:tab/>
        <w:t>…</w:t>
      </w:r>
    </w:p>
    <w:p w:rsidR="00741B2D" w:rsidRPr="008D5E7D" w:rsidRDefault="00741B2D" w:rsidP="00741B2D">
      <w:pPr>
        <w:pStyle w:val="ROMANOS"/>
        <w:spacing w:after="86"/>
        <w:rPr>
          <w:b/>
        </w:rPr>
      </w:pPr>
      <w:r w:rsidRPr="008D5E7D">
        <w:rPr>
          <w:b/>
        </w:rPr>
        <w:t>56.</w:t>
      </w:r>
      <w:r w:rsidRPr="008D5E7D">
        <w:rPr>
          <w:b/>
        </w:rPr>
        <w:tab/>
        <w:t>…</w:t>
      </w:r>
    </w:p>
    <w:p w:rsidR="00741B2D" w:rsidRPr="005716C5" w:rsidRDefault="00741B2D" w:rsidP="00741B2D">
      <w:pPr>
        <w:pStyle w:val="ROMANOS"/>
        <w:spacing w:after="86"/>
      </w:pPr>
      <w:r>
        <w:tab/>
      </w:r>
      <w:r w:rsidRPr="005716C5">
        <w:t>En el desarrollo de la visita, el Contratista y su personal estarán obligados a proporcionar a los Visitadores, asistencia y soporte logístico sin cargo alguno, y deberán permitir el acceso a las instalaciones así como mantener a su disposición la contabilidad y demás documentos físicos y electrónicos que sean objeto de la visita y que se relacionen con el cumplimiento de las disposiciones contractuales, los presentes Lineamientos y demás Normatividad Aplicable.</w:t>
      </w:r>
    </w:p>
    <w:p w:rsidR="00741B2D" w:rsidRPr="005716C5" w:rsidRDefault="00741B2D" w:rsidP="00741B2D">
      <w:pPr>
        <w:pStyle w:val="ROMANOS"/>
        <w:spacing w:after="86"/>
      </w:pPr>
      <w:r w:rsidRPr="008D5E7D">
        <w:rPr>
          <w:b/>
        </w:rPr>
        <w:t>60.</w:t>
      </w:r>
      <w:r w:rsidRPr="008D5E7D">
        <w:rPr>
          <w:b/>
        </w:rPr>
        <w:tab/>
      </w:r>
      <w:r w:rsidRPr="005716C5">
        <w:t>La Secretaría de Hacienda podrá realizar las visitas directamente, instruir al Servicio de Administración Tributaria para que las realice o a través de terceros que contrate al efecto, así como con el apoyo de la CNH, quienes deberán sujetarse en todo momento a los presentes Lineamientos y a las disposiciones del Contrato.</w:t>
      </w:r>
    </w:p>
    <w:p w:rsidR="00741B2D" w:rsidRPr="008D5E7D" w:rsidRDefault="00741B2D" w:rsidP="00741B2D">
      <w:pPr>
        <w:pStyle w:val="ROMANOS"/>
        <w:spacing w:after="20" w:line="200" w:lineRule="exact"/>
        <w:rPr>
          <w:b/>
        </w:rPr>
      </w:pPr>
      <w:r w:rsidRPr="008D5E7D">
        <w:rPr>
          <w:b/>
        </w:rPr>
        <w:t>70.</w:t>
      </w:r>
      <w:r w:rsidRPr="008D5E7D">
        <w:rPr>
          <w:b/>
        </w:rPr>
        <w:tab/>
        <w:t>…</w:t>
      </w:r>
    </w:p>
    <w:p w:rsidR="00741B2D" w:rsidRPr="008D5E7D" w:rsidRDefault="00741B2D" w:rsidP="00741B2D">
      <w:pPr>
        <w:pStyle w:val="ROMANOS"/>
        <w:spacing w:after="20" w:line="200" w:lineRule="exact"/>
        <w:rPr>
          <w:b/>
        </w:rPr>
      </w:pPr>
      <w:r>
        <w:rPr>
          <w:b/>
        </w:rPr>
        <w:tab/>
      </w:r>
      <w:r w:rsidRPr="008D5E7D">
        <w:rPr>
          <w:b/>
        </w:rPr>
        <w:t>…</w:t>
      </w:r>
    </w:p>
    <w:p w:rsidR="00741B2D" w:rsidRPr="005716C5" w:rsidRDefault="00741B2D" w:rsidP="00741B2D">
      <w:pPr>
        <w:pStyle w:val="ROMANOS"/>
        <w:spacing w:after="20" w:line="200" w:lineRule="exact"/>
      </w:pPr>
      <w:r>
        <w:tab/>
      </w:r>
      <w:r w:rsidRPr="005716C5">
        <w:t>La Secretaría de Hacienda señalará en la Resolución Final de Verificación los descuentos y/o ajustes que deban realizarse a las Contraprestaciones del Contratista correspondientes al Periodo inmediatamente posterior, así como los demás efectos y consecuencias que procedan conforme a estos Lineamientos, el Contrato y la Normatividad Aplicable.</w:t>
      </w:r>
    </w:p>
    <w:p w:rsidR="00741B2D" w:rsidRPr="005716C5" w:rsidRDefault="00741B2D" w:rsidP="00741B2D">
      <w:pPr>
        <w:pStyle w:val="ROMANOS"/>
        <w:spacing w:after="20" w:line="200" w:lineRule="exact"/>
      </w:pPr>
      <w:r w:rsidRPr="008D5E7D">
        <w:rPr>
          <w:b/>
        </w:rPr>
        <w:t>78.</w:t>
      </w:r>
      <w:r w:rsidRPr="005716C5">
        <w:tab/>
        <w:t>Si el representante legal del interesado no estuviere en el domicilio fiscal o en el lugar en el que realice sus actividades al momento de llevar a cabo la notificación, se le deberá dejar citatorio con la persona que en ese momento se encuentre en el lugar donde practique dicha notificación.</w:t>
      </w:r>
    </w:p>
    <w:p w:rsidR="00741B2D" w:rsidRPr="005716C5" w:rsidRDefault="00741B2D" w:rsidP="00741B2D">
      <w:pPr>
        <w:pStyle w:val="ANOTACION"/>
        <w:spacing w:after="20" w:line="200" w:lineRule="exact"/>
      </w:pPr>
      <w:r w:rsidRPr="005716C5">
        <w:t>TRANSITORIO</w:t>
      </w:r>
    </w:p>
    <w:p w:rsidR="00741B2D" w:rsidRPr="005716C5" w:rsidRDefault="00741B2D" w:rsidP="00741B2D">
      <w:pPr>
        <w:pStyle w:val="Texto"/>
        <w:spacing w:after="20" w:line="200" w:lineRule="exact"/>
        <w:rPr>
          <w:szCs w:val="24"/>
        </w:rPr>
      </w:pPr>
      <w:r w:rsidRPr="005716C5">
        <w:rPr>
          <w:b/>
          <w:szCs w:val="24"/>
        </w:rPr>
        <w:t>Único.-</w:t>
      </w:r>
      <w:r w:rsidRPr="005716C5">
        <w:rPr>
          <w:szCs w:val="24"/>
        </w:rPr>
        <w:t xml:space="preserve"> Los presentes Lineamientos entrarán en vigor el día siguiente al de su publicación en el Diario Oficial de la Federación.</w:t>
      </w:r>
    </w:p>
    <w:p w:rsidR="00741B2D" w:rsidRPr="008D5E7D" w:rsidRDefault="00741B2D" w:rsidP="00741B2D">
      <w:pPr>
        <w:pStyle w:val="Texto"/>
        <w:spacing w:after="20" w:line="200" w:lineRule="exact"/>
        <w:rPr>
          <w:szCs w:val="24"/>
        </w:rPr>
      </w:pPr>
      <w:r w:rsidRPr="005716C5">
        <w:rPr>
          <w:szCs w:val="24"/>
        </w:rPr>
        <w:t>México, Distrito Federal, a 29 de junio de 2015</w:t>
      </w:r>
      <w:r>
        <w:rPr>
          <w:szCs w:val="24"/>
        </w:rPr>
        <w:t xml:space="preserve">.- El Titular de la Unidad de Ingresos sobre Hidrocarburos de la Secretaría de Hacienda y Crédito Público, </w:t>
      </w:r>
      <w:r>
        <w:rPr>
          <w:b/>
          <w:szCs w:val="24"/>
        </w:rPr>
        <w:t>Salvador Ugalde Mancilla</w:t>
      </w:r>
      <w:r>
        <w:rPr>
          <w:szCs w:val="24"/>
        </w:rPr>
        <w:t>.- Rúbrica.</w:t>
      </w:r>
    </w:p>
    <w:p w:rsidR="00741B2D" w:rsidRDefault="00741B2D" w:rsidP="00741B2D">
      <w:pPr>
        <w:pStyle w:val="Texto"/>
        <w:rPr>
          <w:lang w:val="es-ES_tradnl"/>
        </w:rPr>
      </w:pPr>
    </w:p>
    <w:p w:rsidR="00741B2D" w:rsidRDefault="00741B2D" w:rsidP="00741B2D"/>
    <w:p w:rsidR="00A015BC" w:rsidRDefault="00741B2D"/>
    <w:sectPr w:rsidR="00A015BC" w:rsidSect="00F55870">
      <w:headerReference w:type="default" r:id="rId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09" w:rsidRPr="00BE59DD" w:rsidRDefault="00741B2D" w:rsidP="00C53D09">
    <w:pPr>
      <w:pStyle w:val="Fechas"/>
      <w:rPr>
        <w:rFonts w:cs="Times New Roman"/>
      </w:rPr>
    </w:pPr>
    <w:r w:rsidRPr="00BE59DD">
      <w:rPr>
        <w:rFonts w:cs="Times New Roman"/>
      </w:rPr>
      <w:t>Lunes 6 de julio de 2015</w:t>
    </w:r>
    <w:r w:rsidRPr="00BE59DD">
      <w:rPr>
        <w:rFonts w:cs="Times New Roman"/>
      </w:rPr>
      <w:tab/>
      <w:t>DIARIO OFICIAL</w:t>
    </w:r>
    <w:r w:rsidRPr="00BE59DD">
      <w:rPr>
        <w:rFonts w:cs="Times New Roman"/>
      </w:rPr>
      <w:tab/>
      <w:t xml:space="preserve">(Primera Sección)     </w:t>
    </w:r>
  </w:p>
  <w:p w:rsidR="00C53D09" w:rsidRDefault="00741B2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B2D"/>
    <w:rsid w:val="00211C5E"/>
    <w:rsid w:val="00741B2D"/>
    <w:rsid w:val="00B779C8"/>
    <w:rsid w:val="00F5587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2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41B2D"/>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741B2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741B2D"/>
    <w:pPr>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741B2D"/>
    <w:pPr>
      <w:spacing w:before="101" w:after="101" w:line="216" w:lineRule="atLeast"/>
      <w:jc w:val="center"/>
    </w:pPr>
    <w:rPr>
      <w:b/>
      <w:sz w:val="18"/>
      <w:szCs w:val="20"/>
      <w:lang w:val="es-ES_tradnl"/>
    </w:rPr>
  </w:style>
  <w:style w:type="paragraph" w:customStyle="1" w:styleId="Titulo1">
    <w:name w:val="Titulo 1"/>
    <w:basedOn w:val="Texto"/>
    <w:rsid w:val="00741B2D"/>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741B2D"/>
    <w:pPr>
      <w:pBdr>
        <w:top w:val="double" w:sz="6" w:space="1" w:color="auto"/>
      </w:pBdr>
      <w:spacing w:line="240" w:lineRule="auto"/>
      <w:ind w:firstLine="0"/>
      <w:outlineLvl w:val="1"/>
    </w:pPr>
  </w:style>
  <w:style w:type="character" w:customStyle="1" w:styleId="TextoCar">
    <w:name w:val="Texto Car"/>
    <w:link w:val="Texto"/>
    <w:locked/>
    <w:rsid w:val="00741B2D"/>
    <w:rPr>
      <w:rFonts w:ascii="Arial" w:eastAsia="Times New Roman" w:hAnsi="Arial" w:cs="Arial"/>
      <w:sz w:val="18"/>
      <w:szCs w:val="20"/>
      <w:lang w:eastAsia="es-ES"/>
    </w:rPr>
  </w:style>
  <w:style w:type="character" w:customStyle="1" w:styleId="ROMANOSCar">
    <w:name w:val="ROMANOS Car"/>
    <w:link w:val="ROMANOS"/>
    <w:locked/>
    <w:rsid w:val="00741B2D"/>
    <w:rPr>
      <w:rFonts w:ascii="Arial" w:eastAsia="Times New Roman" w:hAnsi="Arial" w:cs="Arial"/>
      <w:sz w:val="18"/>
      <w:szCs w:val="18"/>
      <w:lang w:eastAsia="es-ES"/>
    </w:rPr>
  </w:style>
  <w:style w:type="character" w:customStyle="1" w:styleId="ANOTACIONCar">
    <w:name w:val="ANOTACION Car"/>
    <w:link w:val="ANOTACION"/>
    <w:locked/>
    <w:rsid w:val="00741B2D"/>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semiHidden/>
    <w:unhideWhenUsed/>
    <w:rsid w:val="00741B2D"/>
    <w:pPr>
      <w:tabs>
        <w:tab w:val="center" w:pos="4419"/>
        <w:tab w:val="right" w:pos="8838"/>
      </w:tabs>
    </w:pPr>
  </w:style>
  <w:style w:type="character" w:customStyle="1" w:styleId="EncabezadoCar">
    <w:name w:val="Encabezado Car"/>
    <w:basedOn w:val="Fuentedeprrafopredeter"/>
    <w:link w:val="Encabezado"/>
    <w:uiPriority w:val="99"/>
    <w:semiHidden/>
    <w:rsid w:val="00741B2D"/>
    <w:rPr>
      <w:rFonts w:ascii="Times New Roman" w:eastAsia="Times New Roman" w:hAnsi="Times New Roman" w:cs="Times New Roman"/>
      <w:sz w:val="24"/>
      <w:szCs w:val="24"/>
      <w:lang w:eastAsia="es-ES"/>
    </w:rPr>
  </w:style>
  <w:style w:type="paragraph" w:customStyle="1" w:styleId="Fechas">
    <w:name w:val="Fechas"/>
    <w:basedOn w:val="Normal"/>
    <w:autoRedefine/>
    <w:rsid w:val="00741B2D"/>
    <w:pPr>
      <w:widowControl w:val="0"/>
      <w:pBdr>
        <w:bottom w:val="double" w:sz="6" w:space="1" w:color="auto"/>
      </w:pBdr>
      <w:tabs>
        <w:tab w:val="center" w:pos="4464"/>
        <w:tab w:val="right" w:pos="8582"/>
      </w:tabs>
      <w:ind w:left="288" w:right="288"/>
      <w:jc w:val="both"/>
    </w:pPr>
    <w:rPr>
      <w:rFonts w:cs="Arial"/>
      <w:snapToGrid w:val="0"/>
      <w:sz w:val="18"/>
      <w:szCs w:val="20"/>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59AAED-251C-44D8-BDC0-4BFC483C7B33}"/>
</file>

<file path=customXml/itemProps2.xml><?xml version="1.0" encoding="utf-8"?>
<ds:datastoreItem xmlns:ds="http://schemas.openxmlformats.org/officeDocument/2006/customXml" ds:itemID="{A33AD674-FA23-4309-9F0A-3015961DC06B}"/>
</file>

<file path=customXml/itemProps3.xml><?xml version="1.0" encoding="utf-8"?>
<ds:datastoreItem xmlns:ds="http://schemas.openxmlformats.org/officeDocument/2006/customXml" ds:itemID="{90C1D7E0-11CD-4808-9B91-267197BB20CB}"/>
</file>

<file path=docProps/app.xml><?xml version="1.0" encoding="utf-8"?>
<Properties xmlns="http://schemas.openxmlformats.org/officeDocument/2006/extended-properties" xmlns:vt="http://schemas.openxmlformats.org/officeDocument/2006/docPropsVTypes">
  <Template>Normal.dotm</Template>
  <TotalTime>1</TotalTime>
  <Pages>18</Pages>
  <Words>9134</Words>
  <Characters>50238</Characters>
  <Application>Microsoft Office Word</Application>
  <DocSecurity>0</DocSecurity>
  <Lines>418</Lines>
  <Paragraphs>118</Paragraphs>
  <ScaleCrop>false</ScaleCrop>
  <Company/>
  <LinksUpToDate>false</LinksUpToDate>
  <CharactersWithSpaces>59254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2015-07-06T14:21:00Z</dcterms:created>
  <dcterms:modified xsi:type="dcterms:W3CDTF">2015-07-06T14:22:00Z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159300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